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C52F" w14:textId="77777777" w:rsidR="00DD4B6A" w:rsidRDefault="00DD4B6A">
      <w:pPr>
        <w:jc w:val="both"/>
      </w:pPr>
      <w:r>
        <w:t>Finance Notes by Dr. J. Kashefi</w:t>
      </w:r>
    </w:p>
    <w:p w14:paraId="0D2C85E0" w14:textId="77777777" w:rsidR="00DD4B6A" w:rsidRDefault="00DD4B6A">
      <w:pPr>
        <w:tabs>
          <w:tab w:val="center" w:pos="4680"/>
        </w:tabs>
        <w:jc w:val="both"/>
        <w:rPr>
          <w:u w:val="single"/>
        </w:rPr>
      </w:pPr>
      <w:r>
        <w:tab/>
      </w:r>
      <w:r>
        <w:rPr>
          <w:b/>
          <w:u w:val="single"/>
        </w:rPr>
        <w:t>BREAK-EVEN ANALYSIS</w:t>
      </w:r>
      <w:r>
        <w:rPr>
          <w:u w:val="single"/>
        </w:rPr>
        <w:t xml:space="preserve"> </w:t>
      </w:r>
      <w:r>
        <w:rPr>
          <w:b/>
          <w:u w:val="single"/>
        </w:rPr>
        <w:t>and IMPACT of</w:t>
      </w:r>
      <w:r>
        <w:rPr>
          <w:u w:val="single"/>
        </w:rPr>
        <w:t xml:space="preserve"> </w:t>
      </w:r>
      <w:r>
        <w:rPr>
          <w:b/>
          <w:u w:val="single"/>
        </w:rPr>
        <w:t>LEVERAGE</w:t>
      </w:r>
    </w:p>
    <w:p w14:paraId="3A87145D" w14:textId="28AC7307" w:rsidR="00DD4B6A" w:rsidRPr="002E542E" w:rsidRDefault="002E542E">
      <w:pPr>
        <w:jc w:val="both"/>
        <w:rPr>
          <w:rFonts w:asciiTheme="majorBidi" w:hAnsiTheme="majorBidi" w:cstheme="majorBidi"/>
          <w:u w:val="single"/>
        </w:rPr>
      </w:pPr>
      <w:r w:rsidRPr="002E542E">
        <w:rPr>
          <w:rFonts w:asciiTheme="majorBidi" w:hAnsiTheme="majorBidi" w:cstheme="majorBidi"/>
          <w:color w:val="101828"/>
          <w:shd w:val="clear" w:color="auto" w:fill="FFFFFF"/>
        </w:rPr>
        <w:t>The relationship between sales volume (revenue) and profitability under different operating conditions </w:t>
      </w:r>
      <w:r w:rsidRPr="002E542E">
        <w:rPr>
          <w:rStyle w:val="grammar-highlight"/>
          <w:rFonts w:asciiTheme="majorBidi" w:hAnsiTheme="majorBidi" w:cstheme="majorBidi"/>
          <w:color w:val="101828"/>
          <w:bdr w:val="single" w:sz="2" w:space="0" w:color="E5E7EB" w:frame="1"/>
        </w:rPr>
        <w:t xml:space="preserve">provides insights </w:t>
      </w:r>
      <w:proofErr w:type="gramStart"/>
      <w:r w:rsidRPr="002E542E">
        <w:rPr>
          <w:rStyle w:val="grammar-highlight"/>
          <w:rFonts w:asciiTheme="majorBidi" w:hAnsiTheme="majorBidi" w:cstheme="majorBidi"/>
          <w:color w:val="101828"/>
          <w:bdr w:val="single" w:sz="2" w:space="0" w:color="E5E7EB" w:frame="1"/>
        </w:rPr>
        <w:t>to</w:t>
      </w:r>
      <w:proofErr w:type="gramEnd"/>
      <w:r w:rsidRPr="002E542E">
        <w:rPr>
          <w:rFonts w:asciiTheme="majorBidi" w:hAnsiTheme="majorBidi" w:cstheme="majorBidi"/>
          <w:color w:val="101828"/>
          <w:shd w:val="clear" w:color="auto" w:fill="FFFFFF"/>
        </w:rPr>
        <w:t> managers, enabling them to plan for changes in the firm’s operating level, financing needs, and profitability. Operating break-even analysis focuses only on the upper portion of the income statement — the segment from sales to net operating income (NOI), or earnings before interest and taxes (EBIT). This portion </w:t>
      </w:r>
      <w:r w:rsidRPr="002E542E">
        <w:rPr>
          <w:rStyle w:val="grammar-highlight"/>
          <w:rFonts w:asciiTheme="majorBidi" w:hAnsiTheme="majorBidi" w:cstheme="majorBidi"/>
          <w:color w:val="101828"/>
          <w:bdr w:val="single" w:sz="2" w:space="0" w:color="E5E7EB" w:frame="1"/>
        </w:rPr>
        <w:t>is generally</w:t>
      </w:r>
      <w:r w:rsidRPr="002E542E">
        <w:rPr>
          <w:rFonts w:asciiTheme="majorBidi" w:hAnsiTheme="majorBidi" w:cstheme="majorBidi"/>
          <w:color w:val="101828"/>
          <w:shd w:val="clear" w:color="auto" w:fill="FFFFFF"/>
        </w:rPr>
        <w:t> referred to as the operating section </w:t>
      </w:r>
      <w:r w:rsidRPr="002E542E">
        <w:rPr>
          <w:rStyle w:val="grammar-highlight"/>
          <w:rFonts w:asciiTheme="majorBidi" w:hAnsiTheme="majorBidi" w:cstheme="majorBidi"/>
          <w:color w:val="101828"/>
          <w:bdr w:val="single" w:sz="2" w:space="0" w:color="E5E7EB" w:frame="1"/>
        </w:rPr>
        <w:t>because it includes</w:t>
      </w:r>
      <w:r w:rsidRPr="002E542E">
        <w:rPr>
          <w:rFonts w:asciiTheme="majorBidi" w:hAnsiTheme="majorBidi" w:cstheme="majorBidi"/>
          <w:color w:val="101828"/>
          <w:shd w:val="clear" w:color="auto" w:fill="FFFFFF"/>
        </w:rPr>
        <w:t> only the revenues and expenses associated with the normal production operations of the firm.</w:t>
      </w:r>
    </w:p>
    <w:p w14:paraId="6B24F7F8" w14:textId="77777777" w:rsidR="00DD4B6A" w:rsidRDefault="00DD4B6A">
      <w:pPr>
        <w:tabs>
          <w:tab w:val="center" w:pos="4680"/>
        </w:tabs>
        <w:jc w:val="both"/>
        <w:rPr>
          <w:u w:val="single"/>
        </w:rPr>
      </w:pPr>
      <w:r>
        <w:tab/>
      </w:r>
      <w:r>
        <w:rPr>
          <w:b/>
          <w:u w:val="single"/>
        </w:rPr>
        <w:t>INCOME STATEMENT</w:t>
      </w:r>
    </w:p>
    <w:p w14:paraId="0449CA2D" w14:textId="77777777" w:rsidR="00DD4B6A" w:rsidRDefault="00DD4B6A">
      <w:pPr>
        <w:jc w:val="both"/>
      </w:pPr>
    </w:p>
    <w:tbl>
      <w:tblPr>
        <w:tblW w:w="9265" w:type="dxa"/>
        <w:tblLook w:val="04A0" w:firstRow="1" w:lastRow="0" w:firstColumn="1" w:lastColumn="0" w:noHBand="0" w:noVBand="1"/>
      </w:tblPr>
      <w:tblGrid>
        <w:gridCol w:w="3000"/>
        <w:gridCol w:w="4702"/>
        <w:gridCol w:w="1563"/>
      </w:tblGrid>
      <w:tr w:rsidR="00D4031E" w:rsidRPr="00D4031E" w14:paraId="1CB9FD3E" w14:textId="77777777" w:rsidTr="00D4031E">
        <w:trPr>
          <w:trHeight w:val="315"/>
        </w:trPr>
        <w:tc>
          <w:tcPr>
            <w:tcW w:w="3000" w:type="dxa"/>
            <w:tcBorders>
              <w:top w:val="single" w:sz="4" w:space="0" w:color="auto"/>
              <w:left w:val="single" w:sz="4" w:space="0" w:color="auto"/>
              <w:bottom w:val="nil"/>
              <w:right w:val="single" w:sz="4" w:space="0" w:color="auto"/>
            </w:tcBorders>
            <w:noWrap/>
            <w:vAlign w:val="center"/>
            <w:hideMark/>
          </w:tcPr>
          <w:p w14:paraId="6B57FFB1" w14:textId="77777777" w:rsidR="00D4031E" w:rsidRPr="00D4031E" w:rsidRDefault="00D4031E" w:rsidP="00D4031E">
            <w:pPr>
              <w:widowControl/>
              <w:jc w:val="both"/>
              <w:rPr>
                <w:snapToGrid/>
                <w:color w:val="000000"/>
                <w:lang w:eastAsia="zh-CN"/>
              </w:rPr>
            </w:pPr>
            <w:r w:rsidRPr="00D4031E">
              <w:rPr>
                <w:snapToGrid/>
                <w:color w:val="000000"/>
                <w:lang w:eastAsia="zh-CN"/>
              </w:rPr>
              <w:t>SALES</w:t>
            </w:r>
          </w:p>
        </w:tc>
        <w:tc>
          <w:tcPr>
            <w:tcW w:w="4702" w:type="dxa"/>
            <w:tcBorders>
              <w:top w:val="single" w:sz="4" w:space="0" w:color="auto"/>
              <w:left w:val="nil"/>
              <w:bottom w:val="nil"/>
              <w:right w:val="single" w:sz="4" w:space="0" w:color="auto"/>
            </w:tcBorders>
            <w:noWrap/>
            <w:vAlign w:val="center"/>
            <w:hideMark/>
          </w:tcPr>
          <w:p w14:paraId="29F92CE0" w14:textId="77777777" w:rsidR="00D4031E" w:rsidRPr="00D4031E" w:rsidRDefault="00D4031E" w:rsidP="00D4031E">
            <w:pPr>
              <w:widowControl/>
              <w:jc w:val="center"/>
              <w:rPr>
                <w:snapToGrid/>
                <w:color w:val="000000"/>
                <w:lang w:eastAsia="zh-CN"/>
              </w:rPr>
            </w:pPr>
            <w:r w:rsidRPr="00D4031E">
              <w:rPr>
                <w:snapToGrid/>
                <w:color w:val="000000"/>
                <w:lang w:eastAsia="zh-CN"/>
              </w:rPr>
              <w:t>P x Q</w:t>
            </w:r>
          </w:p>
        </w:tc>
        <w:tc>
          <w:tcPr>
            <w:tcW w:w="1563" w:type="dxa"/>
            <w:tcBorders>
              <w:top w:val="single" w:sz="4" w:space="0" w:color="auto"/>
              <w:left w:val="nil"/>
              <w:bottom w:val="nil"/>
              <w:right w:val="single" w:sz="4" w:space="0" w:color="auto"/>
            </w:tcBorders>
            <w:noWrap/>
            <w:vAlign w:val="bottom"/>
            <w:hideMark/>
          </w:tcPr>
          <w:p w14:paraId="573B65B7" w14:textId="77777777" w:rsidR="00D4031E" w:rsidRPr="00D4031E" w:rsidRDefault="00D4031E" w:rsidP="00D4031E">
            <w:pPr>
              <w:widowControl/>
              <w:rPr>
                <w:rFonts w:ascii="Aptos Narrow" w:hAnsi="Aptos Narrow"/>
                <w:snapToGrid/>
                <w:color w:val="000000"/>
                <w:sz w:val="22"/>
                <w:szCs w:val="22"/>
                <w:lang w:eastAsia="zh-CN"/>
              </w:rPr>
            </w:pPr>
            <w:r w:rsidRPr="00D4031E">
              <w:rPr>
                <w:rFonts w:ascii="Aptos Narrow" w:hAnsi="Aptos Narrow"/>
                <w:snapToGrid/>
                <w:color w:val="000000"/>
                <w:sz w:val="22"/>
                <w:szCs w:val="22"/>
                <w:lang w:eastAsia="zh-CN"/>
              </w:rPr>
              <w:t> </w:t>
            </w:r>
          </w:p>
        </w:tc>
      </w:tr>
      <w:tr w:rsidR="00D4031E" w:rsidRPr="00D4031E" w14:paraId="358BACCB" w14:textId="77777777" w:rsidTr="00D4031E">
        <w:trPr>
          <w:trHeight w:val="315"/>
        </w:trPr>
        <w:tc>
          <w:tcPr>
            <w:tcW w:w="3000" w:type="dxa"/>
            <w:tcBorders>
              <w:top w:val="nil"/>
              <w:left w:val="single" w:sz="4" w:space="0" w:color="auto"/>
              <w:bottom w:val="nil"/>
              <w:right w:val="single" w:sz="4" w:space="0" w:color="auto"/>
            </w:tcBorders>
            <w:noWrap/>
            <w:vAlign w:val="center"/>
            <w:hideMark/>
          </w:tcPr>
          <w:p w14:paraId="2634EC3F" w14:textId="77777777" w:rsidR="00D4031E" w:rsidRPr="00D4031E" w:rsidRDefault="00D4031E" w:rsidP="00D4031E">
            <w:pPr>
              <w:widowControl/>
              <w:jc w:val="both"/>
              <w:rPr>
                <w:snapToGrid/>
                <w:color w:val="000000"/>
                <w:lang w:eastAsia="zh-CN"/>
              </w:rPr>
            </w:pPr>
            <w:r w:rsidRPr="00D4031E">
              <w:rPr>
                <w:snapToGrid/>
                <w:color w:val="000000"/>
                <w:lang w:eastAsia="zh-CN"/>
              </w:rPr>
              <w:t>less: VARIABLE COST</w:t>
            </w:r>
          </w:p>
        </w:tc>
        <w:tc>
          <w:tcPr>
            <w:tcW w:w="4702" w:type="dxa"/>
            <w:tcBorders>
              <w:top w:val="nil"/>
              <w:left w:val="nil"/>
              <w:bottom w:val="nil"/>
              <w:right w:val="single" w:sz="4" w:space="0" w:color="auto"/>
            </w:tcBorders>
            <w:noWrap/>
            <w:vAlign w:val="center"/>
            <w:hideMark/>
          </w:tcPr>
          <w:p w14:paraId="5757F39E" w14:textId="77777777" w:rsidR="00D4031E" w:rsidRPr="00D4031E" w:rsidRDefault="00D4031E" w:rsidP="00D4031E">
            <w:pPr>
              <w:widowControl/>
              <w:jc w:val="center"/>
              <w:rPr>
                <w:snapToGrid/>
                <w:color w:val="000000"/>
                <w:lang w:eastAsia="zh-CN"/>
              </w:rPr>
            </w:pPr>
            <w:r w:rsidRPr="00D4031E">
              <w:rPr>
                <w:snapToGrid/>
                <w:color w:val="000000"/>
                <w:lang w:eastAsia="zh-CN"/>
              </w:rPr>
              <w:t>(v x Q)</w:t>
            </w:r>
          </w:p>
        </w:tc>
        <w:tc>
          <w:tcPr>
            <w:tcW w:w="1563" w:type="dxa"/>
            <w:tcBorders>
              <w:top w:val="nil"/>
              <w:left w:val="nil"/>
              <w:bottom w:val="nil"/>
              <w:right w:val="single" w:sz="4" w:space="0" w:color="auto"/>
            </w:tcBorders>
            <w:noWrap/>
            <w:vAlign w:val="bottom"/>
            <w:hideMark/>
          </w:tcPr>
          <w:p w14:paraId="6429E038" w14:textId="77777777" w:rsidR="00D4031E" w:rsidRPr="00D4031E" w:rsidRDefault="00D4031E" w:rsidP="00D4031E">
            <w:pPr>
              <w:widowControl/>
              <w:rPr>
                <w:rFonts w:ascii="Aptos Narrow" w:hAnsi="Aptos Narrow"/>
                <w:snapToGrid/>
                <w:color w:val="000000"/>
                <w:sz w:val="22"/>
                <w:szCs w:val="22"/>
                <w:lang w:eastAsia="zh-CN"/>
              </w:rPr>
            </w:pPr>
            <w:r w:rsidRPr="00D4031E">
              <w:rPr>
                <w:rFonts w:ascii="Aptos Narrow" w:hAnsi="Aptos Narrow"/>
                <w:snapToGrid/>
                <w:color w:val="000000"/>
                <w:sz w:val="22"/>
                <w:szCs w:val="22"/>
                <w:lang w:eastAsia="zh-CN"/>
              </w:rPr>
              <w:t> </w:t>
            </w:r>
          </w:p>
        </w:tc>
      </w:tr>
      <w:tr w:rsidR="00D4031E" w:rsidRPr="00D4031E" w14:paraId="55D96906" w14:textId="77777777" w:rsidTr="00D4031E">
        <w:trPr>
          <w:trHeight w:val="315"/>
        </w:trPr>
        <w:tc>
          <w:tcPr>
            <w:tcW w:w="3000" w:type="dxa"/>
            <w:tcBorders>
              <w:top w:val="nil"/>
              <w:left w:val="single" w:sz="4" w:space="0" w:color="auto"/>
              <w:bottom w:val="single" w:sz="4" w:space="0" w:color="auto"/>
              <w:right w:val="single" w:sz="4" w:space="0" w:color="auto"/>
            </w:tcBorders>
            <w:noWrap/>
            <w:vAlign w:val="center"/>
            <w:hideMark/>
          </w:tcPr>
          <w:p w14:paraId="4A70C987" w14:textId="77777777" w:rsidR="00D4031E" w:rsidRPr="00D4031E" w:rsidRDefault="00D4031E" w:rsidP="00D4031E">
            <w:pPr>
              <w:widowControl/>
              <w:jc w:val="both"/>
              <w:rPr>
                <w:snapToGrid/>
                <w:color w:val="000000"/>
                <w:lang w:eastAsia="zh-CN"/>
              </w:rPr>
            </w:pPr>
            <w:r w:rsidRPr="00D4031E">
              <w:rPr>
                <w:snapToGrid/>
                <w:color w:val="000000"/>
                <w:lang w:eastAsia="zh-CN"/>
              </w:rPr>
              <w:t>less: FIXED COST</w:t>
            </w:r>
          </w:p>
        </w:tc>
        <w:tc>
          <w:tcPr>
            <w:tcW w:w="4702" w:type="dxa"/>
            <w:tcBorders>
              <w:top w:val="nil"/>
              <w:left w:val="nil"/>
              <w:bottom w:val="single" w:sz="4" w:space="0" w:color="auto"/>
              <w:right w:val="single" w:sz="4" w:space="0" w:color="auto"/>
            </w:tcBorders>
            <w:noWrap/>
            <w:vAlign w:val="center"/>
            <w:hideMark/>
          </w:tcPr>
          <w:p w14:paraId="63F01B74" w14:textId="77777777" w:rsidR="00D4031E" w:rsidRPr="00D4031E" w:rsidRDefault="00D4031E" w:rsidP="00D4031E">
            <w:pPr>
              <w:widowControl/>
              <w:jc w:val="center"/>
              <w:rPr>
                <w:snapToGrid/>
                <w:color w:val="000000"/>
                <w:lang w:eastAsia="zh-CN"/>
              </w:rPr>
            </w:pPr>
            <w:r w:rsidRPr="00D4031E">
              <w:rPr>
                <w:snapToGrid/>
                <w:color w:val="000000"/>
                <w:lang w:eastAsia="zh-CN"/>
              </w:rPr>
              <w:t>(F)</w:t>
            </w:r>
          </w:p>
        </w:tc>
        <w:tc>
          <w:tcPr>
            <w:tcW w:w="1563" w:type="dxa"/>
            <w:tcBorders>
              <w:top w:val="nil"/>
              <w:left w:val="nil"/>
              <w:bottom w:val="nil"/>
              <w:right w:val="single" w:sz="4" w:space="0" w:color="auto"/>
            </w:tcBorders>
            <w:noWrap/>
            <w:vAlign w:val="center"/>
            <w:hideMark/>
          </w:tcPr>
          <w:p w14:paraId="0D5A2210" w14:textId="77777777" w:rsidR="00D4031E" w:rsidRPr="00D4031E" w:rsidRDefault="00D4031E" w:rsidP="00D4031E">
            <w:pPr>
              <w:widowControl/>
              <w:jc w:val="both"/>
              <w:rPr>
                <w:snapToGrid/>
                <w:color w:val="000000"/>
                <w:lang w:eastAsia="zh-CN"/>
              </w:rPr>
            </w:pPr>
            <w:r w:rsidRPr="00D4031E">
              <w:rPr>
                <w:snapToGrid/>
                <w:color w:val="000000"/>
                <w:lang w:eastAsia="zh-CN"/>
              </w:rPr>
              <w:t xml:space="preserve">     </w:t>
            </w:r>
          </w:p>
        </w:tc>
      </w:tr>
      <w:tr w:rsidR="00D4031E" w:rsidRPr="00D4031E" w14:paraId="266AF290" w14:textId="77777777" w:rsidTr="00D4031E">
        <w:trPr>
          <w:trHeight w:val="315"/>
        </w:trPr>
        <w:tc>
          <w:tcPr>
            <w:tcW w:w="3000" w:type="dxa"/>
            <w:tcBorders>
              <w:top w:val="single" w:sz="4" w:space="0" w:color="auto"/>
              <w:left w:val="single" w:sz="4" w:space="0" w:color="auto"/>
              <w:bottom w:val="single" w:sz="4" w:space="0" w:color="auto"/>
              <w:right w:val="single" w:sz="4" w:space="0" w:color="auto"/>
            </w:tcBorders>
            <w:noWrap/>
            <w:vAlign w:val="center"/>
            <w:hideMark/>
          </w:tcPr>
          <w:p w14:paraId="109EE147" w14:textId="77777777" w:rsidR="00D4031E" w:rsidRPr="00D4031E" w:rsidRDefault="00D4031E" w:rsidP="00D4031E">
            <w:pPr>
              <w:widowControl/>
              <w:jc w:val="both"/>
              <w:rPr>
                <w:snapToGrid/>
                <w:color w:val="000000"/>
                <w:lang w:eastAsia="zh-CN"/>
              </w:rPr>
            </w:pPr>
            <w:r w:rsidRPr="00D4031E">
              <w:rPr>
                <w:snapToGrid/>
                <w:color w:val="000000"/>
                <w:lang w:eastAsia="zh-CN"/>
              </w:rPr>
              <w:t>EBITDA</w:t>
            </w:r>
          </w:p>
        </w:tc>
        <w:tc>
          <w:tcPr>
            <w:tcW w:w="4702" w:type="dxa"/>
            <w:tcBorders>
              <w:top w:val="single" w:sz="4" w:space="0" w:color="auto"/>
              <w:left w:val="nil"/>
              <w:bottom w:val="single" w:sz="4" w:space="0" w:color="auto"/>
              <w:right w:val="single" w:sz="4" w:space="0" w:color="auto"/>
            </w:tcBorders>
            <w:noWrap/>
            <w:vAlign w:val="center"/>
            <w:hideMark/>
          </w:tcPr>
          <w:p w14:paraId="3A3508F5" w14:textId="77777777" w:rsidR="00D4031E" w:rsidRPr="00D4031E" w:rsidRDefault="00D4031E" w:rsidP="00D4031E">
            <w:pPr>
              <w:widowControl/>
              <w:jc w:val="center"/>
              <w:rPr>
                <w:snapToGrid/>
                <w:color w:val="000000"/>
                <w:lang w:eastAsia="zh-CN"/>
              </w:rPr>
            </w:pPr>
            <w:r w:rsidRPr="00D4031E">
              <w:rPr>
                <w:snapToGrid/>
                <w:color w:val="000000"/>
                <w:lang w:eastAsia="zh-CN"/>
              </w:rPr>
              <w:t>(P-</w:t>
            </w:r>
            <w:proofErr w:type="gramStart"/>
            <w:r w:rsidRPr="00D4031E">
              <w:rPr>
                <w:snapToGrid/>
                <w:color w:val="000000"/>
                <w:lang w:eastAsia="zh-CN"/>
              </w:rPr>
              <w:t>v)Q</w:t>
            </w:r>
            <w:proofErr w:type="gramEnd"/>
            <w:r w:rsidRPr="00D4031E">
              <w:rPr>
                <w:snapToGrid/>
                <w:color w:val="000000"/>
                <w:lang w:eastAsia="zh-CN"/>
              </w:rPr>
              <w:t xml:space="preserve"> - F</w:t>
            </w:r>
          </w:p>
        </w:tc>
        <w:tc>
          <w:tcPr>
            <w:tcW w:w="1563" w:type="dxa"/>
            <w:tcBorders>
              <w:top w:val="nil"/>
              <w:left w:val="nil"/>
              <w:bottom w:val="nil"/>
              <w:right w:val="single" w:sz="4" w:space="0" w:color="auto"/>
            </w:tcBorders>
            <w:noWrap/>
            <w:vAlign w:val="center"/>
            <w:hideMark/>
          </w:tcPr>
          <w:p w14:paraId="1FA56045" w14:textId="77777777" w:rsidR="00D4031E" w:rsidRPr="00D4031E" w:rsidRDefault="00D4031E" w:rsidP="00D4031E">
            <w:pPr>
              <w:widowControl/>
              <w:jc w:val="both"/>
              <w:rPr>
                <w:snapToGrid/>
                <w:color w:val="000000"/>
                <w:lang w:eastAsia="zh-CN"/>
              </w:rPr>
            </w:pPr>
            <w:r w:rsidRPr="00D4031E">
              <w:rPr>
                <w:snapToGrid/>
                <w:color w:val="000000"/>
                <w:lang w:eastAsia="zh-CN"/>
              </w:rPr>
              <w:t>Equation (1)</w:t>
            </w:r>
          </w:p>
        </w:tc>
      </w:tr>
      <w:tr w:rsidR="00D4031E" w:rsidRPr="00D4031E" w14:paraId="6615BBA9" w14:textId="77777777" w:rsidTr="00D4031E">
        <w:trPr>
          <w:trHeight w:val="315"/>
        </w:trPr>
        <w:tc>
          <w:tcPr>
            <w:tcW w:w="3000" w:type="dxa"/>
            <w:tcBorders>
              <w:top w:val="nil"/>
              <w:left w:val="single" w:sz="4" w:space="0" w:color="auto"/>
              <w:bottom w:val="single" w:sz="4" w:space="0" w:color="auto"/>
              <w:right w:val="single" w:sz="4" w:space="0" w:color="auto"/>
            </w:tcBorders>
            <w:noWrap/>
            <w:vAlign w:val="center"/>
            <w:hideMark/>
          </w:tcPr>
          <w:p w14:paraId="6FE83A54" w14:textId="77777777" w:rsidR="00D4031E" w:rsidRPr="00D4031E" w:rsidRDefault="00D4031E" w:rsidP="00D4031E">
            <w:pPr>
              <w:widowControl/>
              <w:jc w:val="both"/>
              <w:rPr>
                <w:snapToGrid/>
                <w:color w:val="000000"/>
                <w:lang w:eastAsia="zh-CN"/>
              </w:rPr>
            </w:pPr>
            <w:r w:rsidRPr="00D4031E">
              <w:rPr>
                <w:snapToGrid/>
                <w:color w:val="000000"/>
                <w:lang w:eastAsia="zh-CN"/>
              </w:rPr>
              <w:t>Less: Depreciation</w:t>
            </w:r>
          </w:p>
        </w:tc>
        <w:tc>
          <w:tcPr>
            <w:tcW w:w="4702" w:type="dxa"/>
            <w:tcBorders>
              <w:top w:val="nil"/>
              <w:left w:val="nil"/>
              <w:bottom w:val="single" w:sz="4" w:space="0" w:color="auto"/>
              <w:right w:val="single" w:sz="4" w:space="0" w:color="auto"/>
            </w:tcBorders>
            <w:noWrap/>
            <w:vAlign w:val="center"/>
            <w:hideMark/>
          </w:tcPr>
          <w:p w14:paraId="3B129550" w14:textId="77777777" w:rsidR="00D4031E" w:rsidRPr="00D4031E" w:rsidRDefault="00D4031E" w:rsidP="00D4031E">
            <w:pPr>
              <w:widowControl/>
              <w:jc w:val="center"/>
              <w:rPr>
                <w:snapToGrid/>
                <w:color w:val="000000"/>
                <w:lang w:eastAsia="zh-CN"/>
              </w:rPr>
            </w:pPr>
            <w:r w:rsidRPr="00D4031E">
              <w:rPr>
                <w:snapToGrid/>
                <w:color w:val="000000"/>
                <w:lang w:eastAsia="zh-CN"/>
              </w:rPr>
              <w:t>(Dep)</w:t>
            </w:r>
          </w:p>
        </w:tc>
        <w:tc>
          <w:tcPr>
            <w:tcW w:w="1563" w:type="dxa"/>
            <w:tcBorders>
              <w:top w:val="nil"/>
              <w:left w:val="nil"/>
              <w:bottom w:val="nil"/>
              <w:right w:val="single" w:sz="4" w:space="0" w:color="auto"/>
            </w:tcBorders>
            <w:noWrap/>
            <w:vAlign w:val="bottom"/>
            <w:hideMark/>
          </w:tcPr>
          <w:p w14:paraId="52F6EE03" w14:textId="77777777" w:rsidR="00D4031E" w:rsidRPr="00D4031E" w:rsidRDefault="00D4031E" w:rsidP="00D4031E">
            <w:pPr>
              <w:widowControl/>
              <w:rPr>
                <w:rFonts w:ascii="Aptos Narrow" w:hAnsi="Aptos Narrow"/>
                <w:snapToGrid/>
                <w:color w:val="000000"/>
                <w:sz w:val="22"/>
                <w:szCs w:val="22"/>
                <w:lang w:eastAsia="zh-CN"/>
              </w:rPr>
            </w:pPr>
            <w:r w:rsidRPr="00D4031E">
              <w:rPr>
                <w:rFonts w:ascii="Aptos Narrow" w:hAnsi="Aptos Narrow"/>
                <w:snapToGrid/>
                <w:color w:val="000000"/>
                <w:sz w:val="22"/>
                <w:szCs w:val="22"/>
                <w:lang w:eastAsia="zh-CN"/>
              </w:rPr>
              <w:t> </w:t>
            </w:r>
          </w:p>
        </w:tc>
      </w:tr>
      <w:tr w:rsidR="00D4031E" w:rsidRPr="00D4031E" w14:paraId="5B549A35" w14:textId="77777777" w:rsidTr="00D4031E">
        <w:trPr>
          <w:trHeight w:val="315"/>
        </w:trPr>
        <w:tc>
          <w:tcPr>
            <w:tcW w:w="3000" w:type="dxa"/>
            <w:tcBorders>
              <w:top w:val="nil"/>
              <w:left w:val="single" w:sz="4" w:space="0" w:color="auto"/>
              <w:bottom w:val="nil"/>
              <w:right w:val="single" w:sz="4" w:space="0" w:color="auto"/>
            </w:tcBorders>
            <w:noWrap/>
            <w:vAlign w:val="center"/>
            <w:hideMark/>
          </w:tcPr>
          <w:p w14:paraId="6ACD22AD" w14:textId="77777777" w:rsidR="00D4031E" w:rsidRPr="00D4031E" w:rsidRDefault="00D4031E" w:rsidP="00D4031E">
            <w:pPr>
              <w:widowControl/>
              <w:jc w:val="both"/>
              <w:rPr>
                <w:snapToGrid/>
                <w:color w:val="000000"/>
                <w:lang w:eastAsia="zh-CN"/>
              </w:rPr>
            </w:pPr>
            <w:r w:rsidRPr="00D4031E">
              <w:rPr>
                <w:snapToGrid/>
                <w:color w:val="000000"/>
                <w:lang w:eastAsia="zh-CN"/>
              </w:rPr>
              <w:t>EBIT</w:t>
            </w:r>
          </w:p>
        </w:tc>
        <w:tc>
          <w:tcPr>
            <w:tcW w:w="4702" w:type="dxa"/>
            <w:tcBorders>
              <w:top w:val="nil"/>
              <w:left w:val="nil"/>
              <w:bottom w:val="nil"/>
              <w:right w:val="single" w:sz="4" w:space="0" w:color="auto"/>
            </w:tcBorders>
            <w:noWrap/>
            <w:vAlign w:val="center"/>
            <w:hideMark/>
          </w:tcPr>
          <w:p w14:paraId="5AB83058" w14:textId="77777777" w:rsidR="00D4031E" w:rsidRPr="00D4031E" w:rsidRDefault="00D4031E" w:rsidP="00D4031E">
            <w:pPr>
              <w:widowControl/>
              <w:jc w:val="center"/>
              <w:rPr>
                <w:snapToGrid/>
                <w:color w:val="000000"/>
                <w:lang w:eastAsia="zh-CN"/>
              </w:rPr>
            </w:pPr>
            <w:r w:rsidRPr="00D4031E">
              <w:rPr>
                <w:snapToGrid/>
                <w:color w:val="000000"/>
                <w:lang w:eastAsia="zh-CN"/>
              </w:rPr>
              <w:t>(P-</w:t>
            </w:r>
            <w:proofErr w:type="gramStart"/>
            <w:r w:rsidRPr="00D4031E">
              <w:rPr>
                <w:snapToGrid/>
                <w:color w:val="000000"/>
                <w:lang w:eastAsia="zh-CN"/>
              </w:rPr>
              <w:t>v)Q</w:t>
            </w:r>
            <w:proofErr w:type="gramEnd"/>
            <w:r w:rsidRPr="00D4031E">
              <w:rPr>
                <w:snapToGrid/>
                <w:color w:val="000000"/>
                <w:lang w:eastAsia="zh-CN"/>
              </w:rPr>
              <w:t xml:space="preserve"> - F - Dep</w:t>
            </w:r>
          </w:p>
        </w:tc>
        <w:tc>
          <w:tcPr>
            <w:tcW w:w="1563" w:type="dxa"/>
            <w:tcBorders>
              <w:top w:val="nil"/>
              <w:left w:val="nil"/>
              <w:bottom w:val="nil"/>
              <w:right w:val="single" w:sz="4" w:space="0" w:color="auto"/>
            </w:tcBorders>
            <w:noWrap/>
            <w:vAlign w:val="center"/>
            <w:hideMark/>
          </w:tcPr>
          <w:p w14:paraId="67239694" w14:textId="77777777" w:rsidR="00D4031E" w:rsidRPr="00D4031E" w:rsidRDefault="00D4031E" w:rsidP="00D4031E">
            <w:pPr>
              <w:widowControl/>
              <w:jc w:val="both"/>
              <w:rPr>
                <w:snapToGrid/>
                <w:color w:val="000000"/>
                <w:lang w:eastAsia="zh-CN"/>
              </w:rPr>
            </w:pPr>
            <w:r w:rsidRPr="00D4031E">
              <w:rPr>
                <w:snapToGrid/>
                <w:color w:val="000000"/>
                <w:lang w:eastAsia="zh-CN"/>
              </w:rPr>
              <w:t>Equation (2)</w:t>
            </w:r>
          </w:p>
        </w:tc>
      </w:tr>
      <w:tr w:rsidR="00D4031E" w:rsidRPr="00D4031E" w14:paraId="59BE19B7" w14:textId="77777777" w:rsidTr="00D4031E">
        <w:trPr>
          <w:trHeight w:val="315"/>
        </w:trPr>
        <w:tc>
          <w:tcPr>
            <w:tcW w:w="3000" w:type="dxa"/>
            <w:tcBorders>
              <w:top w:val="nil"/>
              <w:left w:val="single" w:sz="4" w:space="0" w:color="auto"/>
              <w:bottom w:val="single" w:sz="4" w:space="0" w:color="auto"/>
              <w:right w:val="single" w:sz="4" w:space="0" w:color="auto"/>
            </w:tcBorders>
            <w:noWrap/>
            <w:vAlign w:val="center"/>
            <w:hideMark/>
          </w:tcPr>
          <w:p w14:paraId="57ACD96A" w14:textId="77777777" w:rsidR="00D4031E" w:rsidRPr="00D4031E" w:rsidRDefault="00D4031E" w:rsidP="00D4031E">
            <w:pPr>
              <w:widowControl/>
              <w:jc w:val="both"/>
              <w:rPr>
                <w:snapToGrid/>
                <w:color w:val="000000"/>
                <w:lang w:eastAsia="zh-CN"/>
              </w:rPr>
            </w:pPr>
            <w:r w:rsidRPr="00D4031E">
              <w:rPr>
                <w:snapToGrid/>
                <w:color w:val="000000"/>
                <w:lang w:eastAsia="zh-CN"/>
              </w:rPr>
              <w:t>less: Interest payment</w:t>
            </w:r>
          </w:p>
        </w:tc>
        <w:tc>
          <w:tcPr>
            <w:tcW w:w="4702" w:type="dxa"/>
            <w:tcBorders>
              <w:top w:val="nil"/>
              <w:left w:val="nil"/>
              <w:bottom w:val="single" w:sz="4" w:space="0" w:color="auto"/>
              <w:right w:val="single" w:sz="4" w:space="0" w:color="auto"/>
            </w:tcBorders>
            <w:noWrap/>
            <w:vAlign w:val="center"/>
            <w:hideMark/>
          </w:tcPr>
          <w:p w14:paraId="1D1DA282" w14:textId="77777777" w:rsidR="00D4031E" w:rsidRPr="00D4031E" w:rsidRDefault="00D4031E" w:rsidP="00D4031E">
            <w:pPr>
              <w:widowControl/>
              <w:jc w:val="center"/>
              <w:rPr>
                <w:snapToGrid/>
                <w:color w:val="000000"/>
                <w:lang w:eastAsia="zh-CN"/>
              </w:rPr>
            </w:pPr>
            <w:r w:rsidRPr="00D4031E">
              <w:rPr>
                <w:snapToGrid/>
                <w:color w:val="000000"/>
                <w:lang w:eastAsia="zh-CN"/>
              </w:rPr>
              <w:t>(I)</w:t>
            </w:r>
          </w:p>
        </w:tc>
        <w:tc>
          <w:tcPr>
            <w:tcW w:w="1563" w:type="dxa"/>
            <w:tcBorders>
              <w:top w:val="nil"/>
              <w:left w:val="nil"/>
              <w:bottom w:val="nil"/>
              <w:right w:val="single" w:sz="4" w:space="0" w:color="auto"/>
            </w:tcBorders>
            <w:noWrap/>
            <w:vAlign w:val="center"/>
            <w:hideMark/>
          </w:tcPr>
          <w:p w14:paraId="14F01764" w14:textId="77777777" w:rsidR="00D4031E" w:rsidRPr="00D4031E" w:rsidRDefault="00D4031E" w:rsidP="00D4031E">
            <w:pPr>
              <w:widowControl/>
              <w:jc w:val="both"/>
              <w:rPr>
                <w:snapToGrid/>
                <w:color w:val="000000"/>
                <w:lang w:eastAsia="zh-CN"/>
              </w:rPr>
            </w:pPr>
            <w:r w:rsidRPr="00D4031E">
              <w:rPr>
                <w:snapToGrid/>
                <w:color w:val="000000"/>
                <w:lang w:eastAsia="zh-CN"/>
              </w:rPr>
              <w:t>Equation (3)</w:t>
            </w:r>
          </w:p>
        </w:tc>
      </w:tr>
      <w:tr w:rsidR="00D4031E" w:rsidRPr="00D4031E" w14:paraId="129B6D50" w14:textId="77777777" w:rsidTr="00D4031E">
        <w:trPr>
          <w:trHeight w:val="315"/>
        </w:trPr>
        <w:tc>
          <w:tcPr>
            <w:tcW w:w="3000" w:type="dxa"/>
            <w:tcBorders>
              <w:top w:val="nil"/>
              <w:left w:val="single" w:sz="4" w:space="0" w:color="auto"/>
              <w:bottom w:val="nil"/>
              <w:right w:val="single" w:sz="4" w:space="0" w:color="auto"/>
            </w:tcBorders>
            <w:noWrap/>
            <w:vAlign w:val="center"/>
            <w:hideMark/>
          </w:tcPr>
          <w:p w14:paraId="6CED58C5" w14:textId="77777777" w:rsidR="00D4031E" w:rsidRPr="00D4031E" w:rsidRDefault="00D4031E" w:rsidP="00D4031E">
            <w:pPr>
              <w:widowControl/>
              <w:jc w:val="both"/>
              <w:rPr>
                <w:snapToGrid/>
                <w:color w:val="000000"/>
                <w:lang w:eastAsia="zh-CN"/>
              </w:rPr>
            </w:pPr>
            <w:r w:rsidRPr="00D4031E">
              <w:rPr>
                <w:snapToGrid/>
                <w:color w:val="000000"/>
                <w:lang w:eastAsia="zh-CN"/>
              </w:rPr>
              <w:t>EBT</w:t>
            </w:r>
          </w:p>
        </w:tc>
        <w:tc>
          <w:tcPr>
            <w:tcW w:w="4702" w:type="dxa"/>
            <w:tcBorders>
              <w:top w:val="nil"/>
              <w:left w:val="nil"/>
              <w:bottom w:val="nil"/>
              <w:right w:val="single" w:sz="4" w:space="0" w:color="auto"/>
            </w:tcBorders>
            <w:noWrap/>
            <w:vAlign w:val="center"/>
            <w:hideMark/>
          </w:tcPr>
          <w:p w14:paraId="68736EDB" w14:textId="1FCCBB4A" w:rsidR="00D4031E" w:rsidRPr="00D4031E" w:rsidRDefault="00D4031E" w:rsidP="00D4031E">
            <w:pPr>
              <w:widowControl/>
              <w:jc w:val="center"/>
              <w:rPr>
                <w:snapToGrid/>
                <w:color w:val="000000"/>
                <w:lang w:eastAsia="zh-CN"/>
              </w:rPr>
            </w:pPr>
            <w:r w:rsidRPr="00D4031E">
              <w:rPr>
                <w:snapToGrid/>
                <w:color w:val="000000"/>
                <w:lang w:eastAsia="zh-CN"/>
              </w:rPr>
              <w:t>(p-</w:t>
            </w:r>
            <w:r w:rsidRPr="00D4031E">
              <w:rPr>
                <w:snapToGrid/>
                <w:color w:val="000000"/>
                <w:lang w:eastAsia="zh-CN"/>
              </w:rPr>
              <w:t>v) Q</w:t>
            </w:r>
            <w:r w:rsidRPr="00D4031E">
              <w:rPr>
                <w:snapToGrid/>
                <w:color w:val="000000"/>
                <w:lang w:eastAsia="zh-CN"/>
              </w:rPr>
              <w:t xml:space="preserve"> -F - Dep - I</w:t>
            </w:r>
          </w:p>
        </w:tc>
        <w:tc>
          <w:tcPr>
            <w:tcW w:w="1563" w:type="dxa"/>
            <w:tcBorders>
              <w:top w:val="nil"/>
              <w:left w:val="nil"/>
              <w:bottom w:val="nil"/>
              <w:right w:val="single" w:sz="4" w:space="0" w:color="auto"/>
            </w:tcBorders>
            <w:noWrap/>
            <w:vAlign w:val="bottom"/>
            <w:hideMark/>
          </w:tcPr>
          <w:p w14:paraId="2F70B9FA" w14:textId="77777777" w:rsidR="00D4031E" w:rsidRPr="00D4031E" w:rsidRDefault="00D4031E" w:rsidP="00D4031E">
            <w:pPr>
              <w:widowControl/>
              <w:rPr>
                <w:rFonts w:ascii="Aptos Narrow" w:hAnsi="Aptos Narrow"/>
                <w:snapToGrid/>
                <w:color w:val="000000"/>
                <w:sz w:val="22"/>
                <w:szCs w:val="22"/>
                <w:lang w:eastAsia="zh-CN"/>
              </w:rPr>
            </w:pPr>
            <w:r w:rsidRPr="00D4031E">
              <w:rPr>
                <w:rFonts w:ascii="Aptos Narrow" w:hAnsi="Aptos Narrow"/>
                <w:snapToGrid/>
                <w:color w:val="000000"/>
                <w:sz w:val="22"/>
                <w:szCs w:val="22"/>
                <w:lang w:eastAsia="zh-CN"/>
              </w:rPr>
              <w:t> </w:t>
            </w:r>
          </w:p>
        </w:tc>
      </w:tr>
      <w:tr w:rsidR="00D4031E" w:rsidRPr="00D4031E" w14:paraId="5B8201BF" w14:textId="77777777" w:rsidTr="00D4031E">
        <w:trPr>
          <w:trHeight w:val="315"/>
        </w:trPr>
        <w:tc>
          <w:tcPr>
            <w:tcW w:w="3000" w:type="dxa"/>
            <w:tcBorders>
              <w:top w:val="nil"/>
              <w:left w:val="single" w:sz="4" w:space="0" w:color="auto"/>
              <w:bottom w:val="single" w:sz="4" w:space="0" w:color="auto"/>
              <w:right w:val="single" w:sz="4" w:space="0" w:color="auto"/>
            </w:tcBorders>
            <w:noWrap/>
            <w:vAlign w:val="center"/>
            <w:hideMark/>
          </w:tcPr>
          <w:p w14:paraId="6FBD4018" w14:textId="77777777" w:rsidR="00D4031E" w:rsidRPr="00D4031E" w:rsidRDefault="00D4031E" w:rsidP="00D4031E">
            <w:pPr>
              <w:widowControl/>
              <w:jc w:val="both"/>
              <w:rPr>
                <w:snapToGrid/>
                <w:color w:val="000000"/>
                <w:lang w:eastAsia="zh-CN"/>
              </w:rPr>
            </w:pPr>
            <w:r w:rsidRPr="00D4031E">
              <w:rPr>
                <w:snapToGrid/>
                <w:color w:val="000000"/>
                <w:lang w:eastAsia="zh-CN"/>
              </w:rPr>
              <w:t>Less: TAX= t%</w:t>
            </w:r>
          </w:p>
        </w:tc>
        <w:tc>
          <w:tcPr>
            <w:tcW w:w="4702" w:type="dxa"/>
            <w:tcBorders>
              <w:top w:val="nil"/>
              <w:left w:val="nil"/>
              <w:bottom w:val="single" w:sz="4" w:space="0" w:color="auto"/>
              <w:right w:val="single" w:sz="4" w:space="0" w:color="auto"/>
            </w:tcBorders>
            <w:noWrap/>
            <w:vAlign w:val="center"/>
            <w:hideMark/>
          </w:tcPr>
          <w:p w14:paraId="4A50D519" w14:textId="1D084712" w:rsidR="00D4031E" w:rsidRPr="00D4031E" w:rsidRDefault="00D4031E" w:rsidP="00D4031E">
            <w:pPr>
              <w:widowControl/>
              <w:jc w:val="center"/>
              <w:rPr>
                <w:snapToGrid/>
                <w:color w:val="000000"/>
                <w:lang w:eastAsia="zh-CN"/>
              </w:rPr>
            </w:pPr>
            <w:r w:rsidRPr="00D4031E">
              <w:rPr>
                <w:snapToGrid/>
                <w:color w:val="000000"/>
                <w:lang w:eastAsia="zh-CN"/>
              </w:rPr>
              <w:t>-</w:t>
            </w:r>
            <w:r w:rsidRPr="00D4031E">
              <w:rPr>
                <w:snapToGrid/>
                <w:color w:val="000000"/>
                <w:lang w:eastAsia="zh-CN"/>
              </w:rPr>
              <w:t>t[</w:t>
            </w:r>
            <w:r w:rsidRPr="00D4031E">
              <w:rPr>
                <w:snapToGrid/>
                <w:color w:val="000000"/>
                <w:lang w:eastAsia="zh-CN"/>
              </w:rPr>
              <w:t>P-</w:t>
            </w:r>
            <w:r w:rsidRPr="00D4031E">
              <w:rPr>
                <w:snapToGrid/>
                <w:color w:val="000000"/>
                <w:lang w:eastAsia="zh-CN"/>
              </w:rPr>
              <w:t>v) Q</w:t>
            </w:r>
            <w:r w:rsidRPr="00D4031E">
              <w:rPr>
                <w:snapToGrid/>
                <w:color w:val="000000"/>
                <w:lang w:eastAsia="zh-CN"/>
              </w:rPr>
              <w:t xml:space="preserve"> -F- Dep - I]</w:t>
            </w:r>
          </w:p>
        </w:tc>
        <w:tc>
          <w:tcPr>
            <w:tcW w:w="1563" w:type="dxa"/>
            <w:tcBorders>
              <w:top w:val="nil"/>
              <w:left w:val="nil"/>
              <w:bottom w:val="nil"/>
              <w:right w:val="single" w:sz="4" w:space="0" w:color="auto"/>
            </w:tcBorders>
            <w:noWrap/>
            <w:vAlign w:val="bottom"/>
            <w:hideMark/>
          </w:tcPr>
          <w:p w14:paraId="1A0C0E01" w14:textId="77777777" w:rsidR="00D4031E" w:rsidRPr="00D4031E" w:rsidRDefault="00D4031E" w:rsidP="00D4031E">
            <w:pPr>
              <w:widowControl/>
              <w:rPr>
                <w:rFonts w:ascii="Aptos Narrow" w:hAnsi="Aptos Narrow"/>
                <w:snapToGrid/>
                <w:color w:val="000000"/>
                <w:sz w:val="22"/>
                <w:szCs w:val="22"/>
                <w:lang w:eastAsia="zh-CN"/>
              </w:rPr>
            </w:pPr>
            <w:r w:rsidRPr="00D4031E">
              <w:rPr>
                <w:rFonts w:ascii="Aptos Narrow" w:hAnsi="Aptos Narrow"/>
                <w:snapToGrid/>
                <w:color w:val="000000"/>
                <w:sz w:val="22"/>
                <w:szCs w:val="22"/>
                <w:lang w:eastAsia="zh-CN"/>
              </w:rPr>
              <w:t> </w:t>
            </w:r>
          </w:p>
        </w:tc>
      </w:tr>
      <w:tr w:rsidR="00D4031E" w:rsidRPr="00D4031E" w14:paraId="5B71AF6A" w14:textId="77777777" w:rsidTr="00D4031E">
        <w:trPr>
          <w:trHeight w:val="315"/>
        </w:trPr>
        <w:tc>
          <w:tcPr>
            <w:tcW w:w="3000" w:type="dxa"/>
            <w:tcBorders>
              <w:top w:val="nil"/>
              <w:left w:val="single" w:sz="4" w:space="0" w:color="auto"/>
              <w:bottom w:val="nil"/>
              <w:right w:val="single" w:sz="4" w:space="0" w:color="auto"/>
            </w:tcBorders>
            <w:noWrap/>
            <w:vAlign w:val="center"/>
            <w:hideMark/>
          </w:tcPr>
          <w:p w14:paraId="2589DDDF" w14:textId="77777777" w:rsidR="00D4031E" w:rsidRPr="00D4031E" w:rsidRDefault="00D4031E" w:rsidP="00D4031E">
            <w:pPr>
              <w:widowControl/>
              <w:jc w:val="both"/>
              <w:rPr>
                <w:snapToGrid/>
                <w:color w:val="000000"/>
                <w:lang w:eastAsia="zh-CN"/>
              </w:rPr>
            </w:pPr>
            <w:r w:rsidRPr="00D4031E">
              <w:rPr>
                <w:snapToGrid/>
                <w:color w:val="000000"/>
                <w:lang w:eastAsia="zh-CN"/>
              </w:rPr>
              <w:t>EAT</w:t>
            </w:r>
          </w:p>
        </w:tc>
        <w:tc>
          <w:tcPr>
            <w:tcW w:w="4702" w:type="dxa"/>
            <w:tcBorders>
              <w:top w:val="nil"/>
              <w:left w:val="nil"/>
              <w:bottom w:val="nil"/>
              <w:right w:val="single" w:sz="4" w:space="0" w:color="auto"/>
            </w:tcBorders>
            <w:noWrap/>
            <w:vAlign w:val="center"/>
            <w:hideMark/>
          </w:tcPr>
          <w:p w14:paraId="3511738D" w14:textId="48CBCAE3" w:rsidR="00D4031E" w:rsidRPr="00D4031E" w:rsidRDefault="00D4031E" w:rsidP="00D4031E">
            <w:pPr>
              <w:widowControl/>
              <w:jc w:val="center"/>
              <w:rPr>
                <w:snapToGrid/>
                <w:color w:val="000000"/>
                <w:lang w:eastAsia="zh-CN"/>
              </w:rPr>
            </w:pPr>
            <w:r w:rsidRPr="00D4031E">
              <w:rPr>
                <w:snapToGrid/>
                <w:color w:val="000000"/>
                <w:lang w:eastAsia="zh-CN"/>
              </w:rPr>
              <w:t>[(P-</w:t>
            </w:r>
            <w:r w:rsidRPr="00D4031E">
              <w:rPr>
                <w:snapToGrid/>
                <w:color w:val="000000"/>
                <w:lang w:eastAsia="zh-CN"/>
              </w:rPr>
              <w:t>v) Q</w:t>
            </w:r>
            <w:r w:rsidRPr="00D4031E">
              <w:rPr>
                <w:snapToGrid/>
                <w:color w:val="000000"/>
                <w:lang w:eastAsia="zh-CN"/>
              </w:rPr>
              <w:t xml:space="preserve"> - F - Dep - </w:t>
            </w:r>
            <w:r w:rsidRPr="00D4031E">
              <w:rPr>
                <w:snapToGrid/>
                <w:color w:val="000000"/>
                <w:lang w:eastAsia="zh-CN"/>
              </w:rPr>
              <w:t>I] (</w:t>
            </w:r>
            <w:r w:rsidRPr="00D4031E">
              <w:rPr>
                <w:snapToGrid/>
                <w:color w:val="000000"/>
                <w:lang w:eastAsia="zh-CN"/>
              </w:rPr>
              <w:t>1 - T)</w:t>
            </w:r>
          </w:p>
        </w:tc>
        <w:tc>
          <w:tcPr>
            <w:tcW w:w="1563" w:type="dxa"/>
            <w:tcBorders>
              <w:top w:val="nil"/>
              <w:left w:val="nil"/>
              <w:bottom w:val="nil"/>
              <w:right w:val="single" w:sz="4" w:space="0" w:color="auto"/>
            </w:tcBorders>
            <w:noWrap/>
            <w:vAlign w:val="bottom"/>
            <w:hideMark/>
          </w:tcPr>
          <w:p w14:paraId="798AC342" w14:textId="77777777" w:rsidR="00D4031E" w:rsidRPr="00D4031E" w:rsidRDefault="00D4031E" w:rsidP="00D4031E">
            <w:pPr>
              <w:widowControl/>
              <w:rPr>
                <w:rFonts w:ascii="Aptos Narrow" w:hAnsi="Aptos Narrow"/>
                <w:snapToGrid/>
                <w:color w:val="000000"/>
                <w:sz w:val="22"/>
                <w:szCs w:val="22"/>
                <w:lang w:eastAsia="zh-CN"/>
              </w:rPr>
            </w:pPr>
            <w:r w:rsidRPr="00D4031E">
              <w:rPr>
                <w:rFonts w:ascii="Aptos Narrow" w:hAnsi="Aptos Narrow"/>
                <w:snapToGrid/>
                <w:color w:val="000000"/>
                <w:sz w:val="22"/>
                <w:szCs w:val="22"/>
                <w:lang w:eastAsia="zh-CN"/>
              </w:rPr>
              <w:t> </w:t>
            </w:r>
          </w:p>
        </w:tc>
      </w:tr>
      <w:tr w:rsidR="00D4031E" w:rsidRPr="00D4031E" w14:paraId="4D322CBA" w14:textId="77777777" w:rsidTr="00D4031E">
        <w:trPr>
          <w:trHeight w:val="315"/>
        </w:trPr>
        <w:tc>
          <w:tcPr>
            <w:tcW w:w="3000" w:type="dxa"/>
            <w:tcBorders>
              <w:top w:val="nil"/>
              <w:left w:val="single" w:sz="4" w:space="0" w:color="auto"/>
              <w:bottom w:val="single" w:sz="4" w:space="0" w:color="auto"/>
              <w:right w:val="single" w:sz="4" w:space="0" w:color="auto"/>
            </w:tcBorders>
            <w:noWrap/>
            <w:vAlign w:val="center"/>
            <w:hideMark/>
          </w:tcPr>
          <w:p w14:paraId="336359D6" w14:textId="77777777" w:rsidR="00D4031E" w:rsidRPr="00D4031E" w:rsidRDefault="00D4031E" w:rsidP="00D4031E">
            <w:pPr>
              <w:widowControl/>
              <w:jc w:val="both"/>
              <w:rPr>
                <w:snapToGrid/>
                <w:color w:val="000000"/>
                <w:lang w:eastAsia="zh-CN"/>
              </w:rPr>
            </w:pPr>
            <w:r w:rsidRPr="00D4031E">
              <w:rPr>
                <w:snapToGrid/>
                <w:color w:val="000000"/>
                <w:lang w:eastAsia="zh-CN"/>
              </w:rPr>
              <w:t>Plus: Depreciation</w:t>
            </w:r>
          </w:p>
        </w:tc>
        <w:tc>
          <w:tcPr>
            <w:tcW w:w="4702" w:type="dxa"/>
            <w:tcBorders>
              <w:top w:val="nil"/>
              <w:left w:val="nil"/>
              <w:bottom w:val="single" w:sz="4" w:space="0" w:color="auto"/>
              <w:right w:val="single" w:sz="4" w:space="0" w:color="auto"/>
            </w:tcBorders>
            <w:noWrap/>
            <w:vAlign w:val="center"/>
            <w:hideMark/>
          </w:tcPr>
          <w:p w14:paraId="057A48E7" w14:textId="77777777" w:rsidR="00D4031E" w:rsidRPr="00D4031E" w:rsidRDefault="00D4031E" w:rsidP="00D4031E">
            <w:pPr>
              <w:widowControl/>
              <w:jc w:val="center"/>
              <w:rPr>
                <w:snapToGrid/>
                <w:color w:val="000000"/>
                <w:lang w:eastAsia="zh-CN"/>
              </w:rPr>
            </w:pPr>
            <w:r w:rsidRPr="00D4031E">
              <w:rPr>
                <w:snapToGrid/>
                <w:color w:val="000000"/>
                <w:lang w:eastAsia="zh-CN"/>
              </w:rPr>
              <w:t>+Dep</w:t>
            </w:r>
          </w:p>
        </w:tc>
        <w:tc>
          <w:tcPr>
            <w:tcW w:w="1563" w:type="dxa"/>
            <w:tcBorders>
              <w:top w:val="nil"/>
              <w:left w:val="nil"/>
              <w:bottom w:val="nil"/>
              <w:right w:val="single" w:sz="4" w:space="0" w:color="auto"/>
            </w:tcBorders>
            <w:noWrap/>
            <w:vAlign w:val="bottom"/>
            <w:hideMark/>
          </w:tcPr>
          <w:p w14:paraId="3F4B7772" w14:textId="77777777" w:rsidR="00D4031E" w:rsidRPr="00D4031E" w:rsidRDefault="00D4031E" w:rsidP="00D4031E">
            <w:pPr>
              <w:widowControl/>
              <w:rPr>
                <w:rFonts w:ascii="Aptos Narrow" w:hAnsi="Aptos Narrow"/>
                <w:snapToGrid/>
                <w:color w:val="000000"/>
                <w:sz w:val="22"/>
                <w:szCs w:val="22"/>
                <w:lang w:eastAsia="zh-CN"/>
              </w:rPr>
            </w:pPr>
            <w:r w:rsidRPr="00D4031E">
              <w:rPr>
                <w:rFonts w:ascii="Aptos Narrow" w:hAnsi="Aptos Narrow"/>
                <w:snapToGrid/>
                <w:color w:val="000000"/>
                <w:sz w:val="22"/>
                <w:szCs w:val="22"/>
                <w:lang w:eastAsia="zh-CN"/>
              </w:rPr>
              <w:t> </w:t>
            </w:r>
          </w:p>
        </w:tc>
      </w:tr>
      <w:tr w:rsidR="00D4031E" w:rsidRPr="00D4031E" w14:paraId="30A4B804" w14:textId="77777777" w:rsidTr="00D4031E">
        <w:trPr>
          <w:trHeight w:val="315"/>
        </w:trPr>
        <w:tc>
          <w:tcPr>
            <w:tcW w:w="3000" w:type="dxa"/>
            <w:tcBorders>
              <w:top w:val="nil"/>
              <w:left w:val="single" w:sz="4" w:space="0" w:color="auto"/>
              <w:bottom w:val="single" w:sz="4" w:space="0" w:color="auto"/>
              <w:right w:val="single" w:sz="4" w:space="0" w:color="auto"/>
            </w:tcBorders>
            <w:noWrap/>
            <w:vAlign w:val="center"/>
            <w:hideMark/>
          </w:tcPr>
          <w:p w14:paraId="18EAAD05" w14:textId="77777777" w:rsidR="00D4031E" w:rsidRPr="00D4031E" w:rsidRDefault="00D4031E" w:rsidP="00D4031E">
            <w:pPr>
              <w:widowControl/>
              <w:jc w:val="both"/>
              <w:rPr>
                <w:snapToGrid/>
                <w:color w:val="000000"/>
                <w:lang w:eastAsia="zh-CN"/>
              </w:rPr>
            </w:pPr>
            <w:r w:rsidRPr="00D4031E">
              <w:rPr>
                <w:snapToGrid/>
                <w:color w:val="000000"/>
                <w:lang w:eastAsia="zh-CN"/>
              </w:rPr>
              <w:t>Operating Cash Flow</w:t>
            </w:r>
          </w:p>
        </w:tc>
        <w:tc>
          <w:tcPr>
            <w:tcW w:w="4702" w:type="dxa"/>
            <w:tcBorders>
              <w:top w:val="nil"/>
              <w:left w:val="nil"/>
              <w:bottom w:val="single" w:sz="4" w:space="0" w:color="auto"/>
              <w:right w:val="single" w:sz="4" w:space="0" w:color="auto"/>
            </w:tcBorders>
            <w:noWrap/>
            <w:vAlign w:val="center"/>
            <w:hideMark/>
          </w:tcPr>
          <w:p w14:paraId="7DFC5D4C" w14:textId="359167BE" w:rsidR="00D4031E" w:rsidRPr="00D4031E" w:rsidRDefault="00D4031E" w:rsidP="00D4031E">
            <w:pPr>
              <w:widowControl/>
              <w:jc w:val="center"/>
              <w:rPr>
                <w:snapToGrid/>
                <w:color w:val="000000"/>
                <w:lang w:eastAsia="zh-CN"/>
              </w:rPr>
            </w:pPr>
            <w:r w:rsidRPr="00D4031E">
              <w:rPr>
                <w:snapToGrid/>
                <w:color w:val="000000"/>
                <w:lang w:eastAsia="zh-CN"/>
              </w:rPr>
              <w:t>[(P-</w:t>
            </w:r>
            <w:r w:rsidRPr="00D4031E">
              <w:rPr>
                <w:snapToGrid/>
                <w:color w:val="000000"/>
                <w:lang w:eastAsia="zh-CN"/>
              </w:rPr>
              <w:t>v) Q</w:t>
            </w:r>
            <w:r w:rsidRPr="00D4031E">
              <w:rPr>
                <w:snapToGrid/>
                <w:color w:val="000000"/>
                <w:lang w:eastAsia="zh-CN"/>
              </w:rPr>
              <w:t xml:space="preserve"> -F - Dep - </w:t>
            </w:r>
            <w:r w:rsidRPr="00D4031E">
              <w:rPr>
                <w:snapToGrid/>
                <w:color w:val="000000"/>
                <w:lang w:eastAsia="zh-CN"/>
              </w:rPr>
              <w:t>I] (</w:t>
            </w:r>
            <w:r w:rsidRPr="00D4031E">
              <w:rPr>
                <w:snapToGrid/>
                <w:color w:val="000000"/>
                <w:lang w:eastAsia="zh-CN"/>
              </w:rPr>
              <w:t>1 -T) + Dep</w:t>
            </w:r>
          </w:p>
        </w:tc>
        <w:tc>
          <w:tcPr>
            <w:tcW w:w="1563" w:type="dxa"/>
            <w:tcBorders>
              <w:top w:val="nil"/>
              <w:left w:val="nil"/>
              <w:bottom w:val="single" w:sz="4" w:space="0" w:color="auto"/>
              <w:right w:val="single" w:sz="4" w:space="0" w:color="auto"/>
            </w:tcBorders>
            <w:noWrap/>
            <w:vAlign w:val="center"/>
            <w:hideMark/>
          </w:tcPr>
          <w:p w14:paraId="55942D8F" w14:textId="77777777" w:rsidR="00D4031E" w:rsidRPr="00D4031E" w:rsidRDefault="00D4031E" w:rsidP="00D4031E">
            <w:pPr>
              <w:widowControl/>
              <w:jc w:val="both"/>
              <w:rPr>
                <w:snapToGrid/>
                <w:color w:val="000000"/>
                <w:lang w:eastAsia="zh-CN"/>
              </w:rPr>
            </w:pPr>
            <w:r w:rsidRPr="00D4031E">
              <w:rPr>
                <w:snapToGrid/>
                <w:color w:val="000000"/>
                <w:lang w:eastAsia="zh-CN"/>
              </w:rPr>
              <w:t>Equation (4)</w:t>
            </w:r>
          </w:p>
        </w:tc>
      </w:tr>
    </w:tbl>
    <w:p w14:paraId="4DC94909" w14:textId="77777777" w:rsidR="00DD4B6A" w:rsidRDefault="00DD4B6A">
      <w:pPr>
        <w:jc w:val="both"/>
      </w:pPr>
    </w:p>
    <w:p w14:paraId="3E03BB55" w14:textId="77777777" w:rsidR="00DD4B6A" w:rsidRDefault="00DD4B6A">
      <w:pPr>
        <w:jc w:val="both"/>
        <w:rPr>
          <w:u w:val="single"/>
        </w:rPr>
      </w:pPr>
      <w:r>
        <w:rPr>
          <w:b/>
          <w:u w:val="single"/>
        </w:rPr>
        <w:t>OPERATING BREAK-EVEN POINT</w:t>
      </w:r>
    </w:p>
    <w:p w14:paraId="30367649" w14:textId="77777777" w:rsidR="00DD4B6A" w:rsidRDefault="00DD4B6A">
      <w:pPr>
        <w:jc w:val="both"/>
      </w:pPr>
      <w:r>
        <w:rPr>
          <w:b/>
          <w:i/>
        </w:rPr>
        <w:t xml:space="preserve"> </w:t>
      </w:r>
      <w:r>
        <w:rPr>
          <w:b/>
          <w:i/>
        </w:rPr>
        <w:tab/>
        <w:t>Operating breakeven analysis</w:t>
      </w:r>
      <w:r>
        <w:rPr>
          <w:i/>
        </w:rPr>
        <w:t xml:space="preserve"> </w:t>
      </w:r>
      <w:r>
        <w:t>is a method of determining the point at which sales will just cover operating costs--that is, the point at which the firm's operations will break even--but it also shows the magnitude of the firm's operating profits or losses if sales exceed or fall below that point.</w:t>
      </w:r>
    </w:p>
    <w:p w14:paraId="34649028" w14:textId="77777777" w:rsidR="00DD4B6A" w:rsidRDefault="00DD4B6A">
      <w:pPr>
        <w:jc w:val="both"/>
      </w:pPr>
    </w:p>
    <w:p w14:paraId="10FB2CDF" w14:textId="1B91B642" w:rsidR="00DD4B6A" w:rsidRDefault="00DD4B6A">
      <w:pPr>
        <w:ind w:firstLine="720"/>
        <w:jc w:val="both"/>
      </w:pPr>
      <w:r>
        <w:t>A firm's operating breakeven point can be calculated algebraically in terms of units or total dollar sales. The operating breakeven quantity in units is defined as the units of output at which total revenues are equal to total operating costs (fixed costs plus variable costs)</w:t>
      </w:r>
      <w:r>
        <w:rPr>
          <w:rFonts w:ascii="WP MathA" w:hAnsi="WP MathA"/>
        </w:rPr>
        <w:t></w:t>
      </w:r>
      <w:r>
        <w:t xml:space="preserve"> Let P = price per unit, F = fixed costs, and v = variable cost per unit, then by setting equation (1) equal to zero, we have:</w:t>
      </w:r>
      <w:r w:rsidR="00D4031E">
        <w:t xml:space="preserve"> Operating Break-Even</w:t>
      </w:r>
    </w:p>
    <w:p w14:paraId="0EF50E6D" w14:textId="77777777" w:rsidR="00DD4B6A" w:rsidRDefault="00DD4B6A">
      <w:pPr>
        <w:jc w:val="both"/>
        <w:rPr>
          <w:u w:val="single"/>
        </w:rPr>
      </w:pPr>
    </w:p>
    <w:p w14:paraId="6A3733E7" w14:textId="0FD7A772" w:rsidR="00DD4B6A" w:rsidRDefault="00DD4B6A" w:rsidP="00DD67A0">
      <w:pPr>
        <w:ind w:left="2880"/>
        <w:jc w:val="both"/>
      </w:pPr>
      <w:r>
        <w:t>EBDIT = (P -</w:t>
      </w:r>
      <w:r w:rsidR="00D4031E">
        <w:t>V) Q</w:t>
      </w:r>
      <w:r>
        <w:t xml:space="preserve"> -F =0, </w:t>
      </w:r>
    </w:p>
    <w:p w14:paraId="62CF099F" w14:textId="77777777" w:rsidR="00DD4B6A" w:rsidRDefault="00DD4B6A">
      <w:pPr>
        <w:ind w:left="2880"/>
        <w:jc w:val="both"/>
        <w:sectPr w:rsidR="00DD4B6A">
          <w:footerReference w:type="default" r:id="rId7"/>
          <w:endnotePr>
            <w:numFmt w:val="decimal"/>
          </w:endnotePr>
          <w:pgSz w:w="12240" w:h="15840"/>
          <w:pgMar w:top="1440" w:right="1440" w:bottom="1440" w:left="1440" w:header="1440" w:footer="1440" w:gutter="0"/>
          <w:cols w:space="720"/>
          <w:noEndnote/>
        </w:sectPr>
      </w:pPr>
    </w:p>
    <w:p w14:paraId="3BB0F766" w14:textId="77777777" w:rsidR="00DD4B6A" w:rsidRDefault="00DD4B6A">
      <w:pPr>
        <w:framePr w:w="9124" w:hSpace="240" w:vSpace="240" w:wrap="auto" w:vAnchor="text" w:hAnchor="margin" w:x="1199" w:y="265"/>
        <w:pBdr>
          <w:top w:val="single" w:sz="6" w:space="0" w:color="FFFFFF"/>
          <w:left w:val="single" w:sz="6" w:space="0" w:color="FFFFFF"/>
          <w:bottom w:val="single" w:sz="6" w:space="0" w:color="FFFFFF"/>
          <w:right w:val="single" w:sz="6" w:space="0" w:color="FFFFFF"/>
        </w:pBdr>
        <w:ind w:left="1440" w:firstLine="720"/>
      </w:pPr>
      <w:r>
        <w:rPr>
          <w:position w:val="-24"/>
          <w:sz w:val="20"/>
        </w:rPr>
        <w:object w:dxaOrig="1200" w:dyaOrig="620" w14:anchorId="75055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75pt" o:ole="" fillcolor="window">
            <v:imagedata r:id="rId8" o:title=""/>
          </v:shape>
          <o:OLEObject Type="Embed" ProgID="Equation.3" ShapeID="_x0000_i1025" DrawAspect="Content" ObjectID="_1835243942" r:id="rId9"/>
        </w:object>
      </w:r>
    </w:p>
    <w:p w14:paraId="5AE47464" w14:textId="77777777" w:rsidR="00D4031E" w:rsidRDefault="00D4031E">
      <w:pPr>
        <w:jc w:val="both"/>
      </w:pPr>
    </w:p>
    <w:p w14:paraId="2BA8F642" w14:textId="77777777" w:rsidR="00D4031E" w:rsidRDefault="00D4031E">
      <w:pPr>
        <w:jc w:val="both"/>
      </w:pPr>
    </w:p>
    <w:p w14:paraId="5D34E71A" w14:textId="77777777" w:rsidR="00D4031E" w:rsidRDefault="00D4031E">
      <w:pPr>
        <w:jc w:val="both"/>
      </w:pPr>
    </w:p>
    <w:p w14:paraId="0610DC5D" w14:textId="77777777" w:rsidR="00D4031E" w:rsidRDefault="00D4031E">
      <w:pPr>
        <w:jc w:val="both"/>
      </w:pPr>
    </w:p>
    <w:p w14:paraId="0F0FC758" w14:textId="4FE28B84" w:rsidR="00DD4B6A" w:rsidRDefault="00DD4B6A">
      <w:pPr>
        <w:jc w:val="both"/>
      </w:pPr>
      <w:r>
        <w:lastRenderedPageBreak/>
        <w:t>Th</w:t>
      </w:r>
      <w:r w:rsidR="00D4031E">
        <w:t xml:space="preserve">e </w:t>
      </w:r>
      <w:r>
        <w:t xml:space="preserve">breakeven sales volume, </w:t>
      </w:r>
      <w:proofErr w:type="gramStart"/>
      <w:r>
        <w:t>S</w:t>
      </w:r>
      <w:r>
        <w:rPr>
          <w:vertAlign w:val="subscript"/>
        </w:rPr>
        <w:t>BE</w:t>
      </w:r>
      <w:r>
        <w:t xml:space="preserve"> ,</w:t>
      </w:r>
      <w:proofErr w:type="gramEnd"/>
      <w:r>
        <w:t xml:space="preserve"> can be calculated as:</w:t>
      </w:r>
    </w:p>
    <w:p w14:paraId="6B5F32CA" w14:textId="77777777" w:rsidR="00DD4B6A" w:rsidRDefault="00DD4B6A">
      <w:pPr>
        <w:framePr w:w="9124" w:hSpace="240" w:vSpace="240" w:wrap="auto" w:vAnchor="text" w:hAnchor="margin" w:x="1199" w:y="265"/>
        <w:pBdr>
          <w:top w:val="single" w:sz="6" w:space="0" w:color="FFFFFF"/>
          <w:left w:val="single" w:sz="6" w:space="0" w:color="FFFFFF"/>
          <w:bottom w:val="single" w:sz="6" w:space="0" w:color="FFFFFF"/>
          <w:right w:val="single" w:sz="6" w:space="0" w:color="FFFFFF"/>
        </w:pBdr>
        <w:ind w:left="720" w:firstLine="720"/>
      </w:pPr>
      <w:r>
        <w:rPr>
          <w:position w:val="-54"/>
          <w:sz w:val="20"/>
        </w:rPr>
        <w:object w:dxaOrig="3400" w:dyaOrig="920" w14:anchorId="6A38295C">
          <v:shape id="_x0000_i1026" type="#_x0000_t75" style="width:170.25pt;height:45.75pt" o:ole="" fillcolor="window">
            <v:imagedata r:id="rId10" o:title=""/>
          </v:shape>
          <o:OLEObject Type="Embed" ProgID="Equation.3" ShapeID="_x0000_i1026" DrawAspect="Content" ObjectID="_1835243943" r:id="rId11"/>
        </w:object>
      </w:r>
    </w:p>
    <w:p w14:paraId="3E2C5596" w14:textId="77777777" w:rsidR="00DD4B6A" w:rsidRDefault="00DD4B6A">
      <w:pPr>
        <w:jc w:val="both"/>
      </w:pPr>
      <w:r>
        <w:t>Operating breakeven analysis can shed light on three important types of business decisions:</w:t>
      </w:r>
    </w:p>
    <w:p w14:paraId="45DC2C0A" w14:textId="77777777" w:rsidR="00DD4B6A" w:rsidRDefault="00DD4B6A">
      <w:pPr>
        <w:pStyle w:val="Quick1"/>
        <w:numPr>
          <w:ilvl w:val="0"/>
          <w:numId w:val="1"/>
        </w:numPr>
        <w:tabs>
          <w:tab w:val="left" w:pos="-1440"/>
          <w:tab w:val="num" w:pos="1440"/>
        </w:tabs>
        <w:ind w:left="1440"/>
        <w:jc w:val="both"/>
      </w:pPr>
      <w:r>
        <w:t xml:space="preserve">It can help determine how large the sales of a new product must be to achieve profitability. </w:t>
      </w:r>
    </w:p>
    <w:p w14:paraId="2A925F97" w14:textId="77777777" w:rsidR="00DD4B6A" w:rsidRDefault="00DD4B6A">
      <w:pPr>
        <w:pStyle w:val="Quick1"/>
        <w:numPr>
          <w:ilvl w:val="0"/>
          <w:numId w:val="1"/>
        </w:numPr>
        <w:tabs>
          <w:tab w:val="left" w:pos="-1440"/>
          <w:tab w:val="num" w:pos="1440"/>
        </w:tabs>
        <w:ind w:left="1440"/>
        <w:jc w:val="both"/>
      </w:pPr>
      <w:r>
        <w:t xml:space="preserve">It can be used to study the effects of a general expansion </w:t>
      </w:r>
      <w:proofErr w:type="gramStart"/>
      <w:r>
        <w:t>in</w:t>
      </w:r>
      <w:proofErr w:type="gramEnd"/>
      <w:r>
        <w:t xml:space="preserve"> the level of the firm's operations. </w:t>
      </w:r>
    </w:p>
    <w:p w14:paraId="4C69E32B" w14:textId="77777777" w:rsidR="00DD4B6A" w:rsidRDefault="00DD4B6A">
      <w:pPr>
        <w:pStyle w:val="Quick1"/>
        <w:numPr>
          <w:ilvl w:val="0"/>
          <w:numId w:val="1"/>
        </w:numPr>
        <w:tabs>
          <w:tab w:val="left" w:pos="-1440"/>
          <w:tab w:val="num" w:pos="1440"/>
        </w:tabs>
        <w:ind w:left="1440"/>
        <w:jc w:val="both"/>
      </w:pPr>
      <w:r>
        <w:t>It can help management analyze the consequences of modernization and automation projects.</w:t>
      </w:r>
    </w:p>
    <w:p w14:paraId="153CD51F" w14:textId="77777777" w:rsidR="00DD4B6A" w:rsidRDefault="00DD4B6A">
      <w:pPr>
        <w:jc w:val="both"/>
        <w:rPr>
          <w:u w:val="single"/>
        </w:rPr>
      </w:pPr>
    </w:p>
    <w:p w14:paraId="59C8BA56" w14:textId="77777777" w:rsidR="00DD4B6A" w:rsidRDefault="00DD4B6A">
      <w:pPr>
        <w:tabs>
          <w:tab w:val="left" w:pos="-1440"/>
        </w:tabs>
        <w:ind w:left="4320" w:hanging="4320"/>
        <w:jc w:val="both"/>
      </w:pPr>
      <w:r>
        <w:rPr>
          <w:b/>
          <w:u w:val="single"/>
        </w:rPr>
        <w:t>ACCOUNTING BREAK-EVEN POINT</w:t>
      </w:r>
      <w:r>
        <w:tab/>
      </w:r>
    </w:p>
    <w:p w14:paraId="5A4955C8" w14:textId="77777777" w:rsidR="00B4280F" w:rsidRPr="00B4280F" w:rsidRDefault="00B4280F" w:rsidP="00B4280F">
      <w:pPr>
        <w:widowControl/>
        <w:rPr>
          <w:snapToGrid/>
          <w:lang w:eastAsia="zh-CN"/>
        </w:rPr>
      </w:pPr>
      <w:r w:rsidRPr="00B4280F">
        <w:rPr>
          <w:snapToGrid/>
          <w:lang w:eastAsia="zh-CN"/>
        </w:rPr>
        <w:t xml:space="preserve">Firms that have fixed costs, including a large amount of </w:t>
      </w:r>
      <w:proofErr w:type="gramStart"/>
      <w:r w:rsidRPr="00B4280F">
        <w:rPr>
          <w:snapToGrid/>
          <w:lang w:eastAsia="zh-CN"/>
        </w:rPr>
        <w:t>noncash</w:t>
      </w:r>
      <w:proofErr w:type="gramEnd"/>
      <w:r w:rsidRPr="00B4280F">
        <w:rPr>
          <w:snapToGrid/>
          <w:lang w:eastAsia="zh-CN"/>
        </w:rPr>
        <w:t xml:space="preserve"> expenses, often find it useful to compute the </w:t>
      </w:r>
      <w:r w:rsidRPr="00B4280F">
        <w:rPr>
          <w:b/>
          <w:bCs/>
          <w:i/>
          <w:iCs/>
          <w:snapToGrid/>
          <w:lang w:eastAsia="zh-CN"/>
        </w:rPr>
        <w:t>accounting operating breakeven point</w:t>
      </w:r>
      <w:r w:rsidRPr="00B4280F">
        <w:rPr>
          <w:i/>
          <w:iCs/>
          <w:snapToGrid/>
          <w:lang w:eastAsia="zh-CN"/>
        </w:rPr>
        <w:t>.</w:t>
      </w:r>
      <w:r w:rsidRPr="00B4280F">
        <w:rPr>
          <w:snapToGrid/>
          <w:lang w:eastAsia="zh-CN"/>
        </w:rPr>
        <w:t xml:space="preserve"> The accounting operating breakeven point, QABE, is calculated by setting equation (2) equal to zero:</w:t>
      </w:r>
    </w:p>
    <w:p w14:paraId="3CC53A65" w14:textId="77777777" w:rsidR="00DD4B6A" w:rsidRDefault="00DD4B6A">
      <w:pPr>
        <w:jc w:val="both"/>
      </w:pPr>
    </w:p>
    <w:p w14:paraId="755E05E9" w14:textId="77777777" w:rsidR="00DD4B6A" w:rsidRDefault="00DD4B6A">
      <w:pPr>
        <w:ind w:left="720" w:firstLine="720"/>
        <w:jc w:val="both"/>
      </w:pPr>
      <w:r>
        <w:t xml:space="preserve">   EBIT = (P -</w:t>
      </w:r>
      <w:proofErr w:type="gramStart"/>
      <w:r>
        <w:t>v)Q</w:t>
      </w:r>
      <w:proofErr w:type="gramEnd"/>
      <w:r>
        <w:t xml:space="preserve"> -F - Dep =0, then</w:t>
      </w:r>
    </w:p>
    <w:p w14:paraId="3315B7F4" w14:textId="77777777" w:rsidR="00DD4B6A" w:rsidRDefault="00DD4B6A">
      <w:pPr>
        <w:framePr w:w="9124" w:hSpace="240" w:vSpace="240" w:wrap="auto" w:vAnchor="text" w:hAnchor="margin" w:x="1199" w:y="265"/>
        <w:pBdr>
          <w:top w:val="single" w:sz="6" w:space="0" w:color="FFFFFF"/>
          <w:left w:val="single" w:sz="6" w:space="0" w:color="FFFFFF"/>
          <w:bottom w:val="single" w:sz="6" w:space="0" w:color="FFFFFF"/>
          <w:right w:val="single" w:sz="6" w:space="0" w:color="FFFFFF"/>
        </w:pBdr>
        <w:ind w:left="720" w:firstLine="720"/>
      </w:pPr>
      <w:r>
        <w:rPr>
          <w:position w:val="-24"/>
          <w:sz w:val="20"/>
        </w:rPr>
        <w:object w:dxaOrig="1700" w:dyaOrig="620" w14:anchorId="0797A723">
          <v:shape id="_x0000_i1027" type="#_x0000_t75" style="width:84.75pt;height:30.75pt" o:ole="" fillcolor="window">
            <v:imagedata r:id="rId12" o:title=""/>
          </v:shape>
          <o:OLEObject Type="Embed" ProgID="Equation.3" ShapeID="_x0000_i1027" DrawAspect="Content" ObjectID="_1835243944" r:id="rId13"/>
        </w:object>
      </w:r>
    </w:p>
    <w:p w14:paraId="633ECC4D" w14:textId="77777777" w:rsidR="00DD4B6A" w:rsidRDefault="00DD4B6A">
      <w:pPr>
        <w:jc w:val="both"/>
        <w:rPr>
          <w:u w:val="single"/>
        </w:rPr>
      </w:pPr>
      <w:r>
        <w:rPr>
          <w:b/>
          <w:u w:val="single"/>
        </w:rPr>
        <w:t>FINANCIAL BREAK-EVEN</w:t>
      </w:r>
    </w:p>
    <w:p w14:paraId="7B309CCE" w14:textId="2C8CEBB2" w:rsidR="00DD4B6A" w:rsidRDefault="00DD4B6A">
      <w:pPr>
        <w:ind w:firstLine="720"/>
        <w:jc w:val="both"/>
      </w:pPr>
      <w:r>
        <w:t xml:space="preserve">Financial breakeven analysis is a method of determining the operating income, or EBIT, </w:t>
      </w:r>
      <w:r w:rsidR="00B4280F">
        <w:t xml:space="preserve">that </w:t>
      </w:r>
      <w:r>
        <w:t xml:space="preserve">the firm needs to just cover </w:t>
      </w:r>
      <w:proofErr w:type="gramStart"/>
      <w:r>
        <w:t>all of</w:t>
      </w:r>
      <w:proofErr w:type="gramEnd"/>
      <w:r>
        <w:t xml:space="preserve"> its financing costs and produce earnings per share equal to zero.</w:t>
      </w:r>
    </w:p>
    <w:p w14:paraId="12FC8E30" w14:textId="77777777" w:rsidR="00DD4B6A" w:rsidRDefault="00DD4B6A">
      <w:pPr>
        <w:ind w:firstLine="720"/>
        <w:jc w:val="both"/>
      </w:pPr>
      <w:r>
        <w:t>Financial breakeven analysis deals with the lower portion of the income statement--the portion from operating income (EBIT) to earnings available to common stockholders.</w:t>
      </w:r>
    </w:p>
    <w:p w14:paraId="7DE78AF2" w14:textId="77777777" w:rsidR="00DD4B6A" w:rsidRDefault="00DD4B6A">
      <w:pPr>
        <w:jc w:val="both"/>
      </w:pPr>
    </w:p>
    <w:p w14:paraId="36CA5901" w14:textId="77777777" w:rsidR="00DD4B6A" w:rsidRDefault="00DD4B6A" w:rsidP="00DD67A0">
      <w:pPr>
        <w:pStyle w:val="a"/>
        <w:numPr>
          <w:ilvl w:val="0"/>
          <w:numId w:val="7"/>
        </w:numPr>
        <w:tabs>
          <w:tab w:val="left" w:pos="-1440"/>
        </w:tabs>
        <w:jc w:val="both"/>
      </w:pPr>
      <w:r>
        <w:t xml:space="preserve">The lower portion of the income statement is generally referred to as the financing section, because it </w:t>
      </w:r>
      <w:proofErr w:type="gramStart"/>
      <w:r>
        <w:t>contains</w:t>
      </w:r>
      <w:proofErr w:type="gramEnd"/>
      <w:r>
        <w:t xml:space="preserve"> the expenses associated with the financing arrangements of the firm. If we set </w:t>
      </w:r>
      <w:proofErr w:type="gramStart"/>
      <w:r>
        <w:t>equation</w:t>
      </w:r>
      <w:proofErr w:type="gramEnd"/>
      <w:r>
        <w:t xml:space="preserve"> (3) equal to zero, we have:</w:t>
      </w:r>
    </w:p>
    <w:p w14:paraId="0BC55535" w14:textId="77777777" w:rsidR="00DD4B6A" w:rsidRDefault="00DD4B6A">
      <w:pPr>
        <w:jc w:val="both"/>
      </w:pPr>
    </w:p>
    <w:p w14:paraId="2C627D90" w14:textId="77777777" w:rsidR="00DD4B6A" w:rsidRDefault="00DD4B6A" w:rsidP="00DD67A0">
      <w:pPr>
        <w:tabs>
          <w:tab w:val="left" w:pos="-1440"/>
        </w:tabs>
        <w:ind w:left="1440"/>
        <w:jc w:val="both"/>
      </w:pPr>
      <w:r>
        <w:t xml:space="preserve">EBT = (P - </w:t>
      </w:r>
      <w:proofErr w:type="gramStart"/>
      <w:r>
        <w:t>V)Q</w:t>
      </w:r>
      <w:proofErr w:type="gramEnd"/>
      <w:r>
        <w:t xml:space="preserve"> -F - Dep - I = 0, </w:t>
      </w:r>
      <w:proofErr w:type="gramStart"/>
      <w:r>
        <w:t xml:space="preserve">then  </w:t>
      </w:r>
      <w:r>
        <w:rPr>
          <w:b/>
        </w:rPr>
        <w:tab/>
        <w:t>EBIT</w:t>
      </w:r>
      <w:r>
        <w:rPr>
          <w:b/>
          <w:vertAlign w:val="subscript"/>
        </w:rPr>
        <w:t>BE</w:t>
      </w:r>
      <w:r>
        <w:rPr>
          <w:b/>
        </w:rPr>
        <w:t xml:space="preserve">  =</w:t>
      </w:r>
      <w:proofErr w:type="gramEnd"/>
      <w:r>
        <w:rPr>
          <w:b/>
        </w:rPr>
        <w:t xml:space="preserve"> I</w:t>
      </w:r>
    </w:p>
    <w:p w14:paraId="5977D6B3" w14:textId="77777777" w:rsidR="00DD4B6A" w:rsidRDefault="00DD4B6A">
      <w:pPr>
        <w:jc w:val="both"/>
      </w:pPr>
    </w:p>
    <w:p w14:paraId="6574859D" w14:textId="77777777" w:rsidR="00DD4B6A" w:rsidRDefault="00DD4B6A">
      <w:pPr>
        <w:jc w:val="both"/>
        <w:sectPr w:rsidR="00DD4B6A">
          <w:endnotePr>
            <w:numFmt w:val="decimal"/>
          </w:endnotePr>
          <w:type w:val="continuous"/>
          <w:pgSz w:w="12240" w:h="15840"/>
          <w:pgMar w:top="1440" w:right="1440" w:bottom="1440" w:left="1440" w:header="1440" w:footer="1440" w:gutter="0"/>
          <w:cols w:space="720"/>
          <w:noEndnote/>
        </w:sectPr>
      </w:pPr>
    </w:p>
    <w:p w14:paraId="5A24E86F" w14:textId="77777777" w:rsidR="00B4280F" w:rsidRDefault="00B4280F" w:rsidP="00B4280F">
      <w:pPr>
        <w:pStyle w:val="a"/>
        <w:numPr>
          <w:ilvl w:val="0"/>
          <w:numId w:val="7"/>
        </w:numPr>
        <w:tabs>
          <w:tab w:val="left" w:pos="-1440"/>
        </w:tabs>
        <w:jc w:val="both"/>
      </w:pPr>
      <w:r>
        <w:t xml:space="preserve">The amount of preferred dividends must be stated on a before-tax basis to determine the financial breakeven point. However, if a firm has no preferred stock the firm only needs to cover its interest payments, so the financial breakeven point simply equals the interest expense. </w:t>
      </w:r>
    </w:p>
    <w:p w14:paraId="54F5D0AB" w14:textId="77777777" w:rsidR="00B4280F" w:rsidRDefault="00B4280F" w:rsidP="00B4280F">
      <w:pPr>
        <w:pStyle w:val="a"/>
        <w:numPr>
          <w:ilvl w:val="0"/>
          <w:numId w:val="7"/>
        </w:numPr>
        <w:tabs>
          <w:tab w:val="left" w:pos="-1440"/>
        </w:tabs>
        <w:jc w:val="both"/>
      </w:pPr>
      <w:r>
        <w:t>Financial breakeven analysis can be used to help determine the impact of the firm's financing mix on the earnings available to common stockholders.</w:t>
      </w:r>
    </w:p>
    <w:p w14:paraId="5B569A53" w14:textId="77777777" w:rsidR="00DD4B6A" w:rsidRDefault="00DD4B6A">
      <w:pPr>
        <w:jc w:val="both"/>
      </w:pPr>
    </w:p>
    <w:p w14:paraId="246B36AC" w14:textId="77777777" w:rsidR="00DD4B6A" w:rsidRDefault="00DD4B6A">
      <w:pPr>
        <w:jc w:val="both"/>
      </w:pPr>
      <w:r>
        <w:rPr>
          <w:b/>
          <w:u w:val="single"/>
        </w:rPr>
        <w:t>OVERALL BREAK-EVEN POINT</w:t>
      </w:r>
    </w:p>
    <w:p w14:paraId="401D3A21" w14:textId="77777777" w:rsidR="00DD4B6A" w:rsidRDefault="00DD4B6A">
      <w:pPr>
        <w:ind w:firstLine="720"/>
        <w:jc w:val="both"/>
      </w:pPr>
      <w:r>
        <w:t xml:space="preserve">The overall break-even quantity can be calculated when Cash flow is set equal to zero, that is, CF = 0, </w:t>
      </w:r>
      <w:proofErr w:type="gramStart"/>
      <w:r>
        <w:t xml:space="preserve">then  </w:t>
      </w:r>
      <w:r>
        <w:tab/>
      </w:r>
      <w:proofErr w:type="gramEnd"/>
      <w:r>
        <w:tab/>
      </w:r>
      <w:r w:rsidR="00DD67A0">
        <w:rPr>
          <w:position w:val="-24"/>
          <w:sz w:val="20"/>
        </w:rPr>
        <w:object w:dxaOrig="2580" w:dyaOrig="900" w14:anchorId="5FF38EBA">
          <v:shape id="_x0000_i1028" type="#_x0000_t75" style="width:129pt;height:36.75pt" o:ole="" fillcolor="window">
            <v:imagedata r:id="rId14" o:title=""/>
          </v:shape>
          <o:OLEObject Type="Embed" ProgID="Equation.3" ShapeID="_x0000_i1028" DrawAspect="Content" ObjectID="_1835243945" r:id="rId15"/>
        </w:object>
      </w:r>
    </w:p>
    <w:p w14:paraId="3C4BCF11" w14:textId="77777777" w:rsidR="00DD4B6A" w:rsidRDefault="00DD4B6A">
      <w:pPr>
        <w:framePr w:w="9124" w:hSpace="240" w:vSpace="240" w:wrap="auto" w:vAnchor="text" w:hAnchor="margin" w:x="894" w:y="58"/>
        <w:pBdr>
          <w:top w:val="single" w:sz="6" w:space="0" w:color="FFFFFF"/>
          <w:left w:val="single" w:sz="6" w:space="0" w:color="FFFFFF"/>
          <w:bottom w:val="single" w:sz="6" w:space="0" w:color="FFFFFF"/>
          <w:right w:val="single" w:sz="6" w:space="0" w:color="FFFFFF"/>
        </w:pBdr>
        <w:jc w:val="center"/>
      </w:pPr>
    </w:p>
    <w:p w14:paraId="4353992A" w14:textId="77777777" w:rsidR="00DD4B6A" w:rsidRDefault="00DD4B6A">
      <w:pPr>
        <w:jc w:val="both"/>
      </w:pPr>
    </w:p>
    <w:p w14:paraId="7927BFDD" w14:textId="77777777" w:rsidR="00DD4B6A" w:rsidRDefault="00DD4B6A">
      <w:pPr>
        <w:jc w:val="both"/>
        <w:rPr>
          <w:b/>
          <w:u w:val="single"/>
        </w:rPr>
      </w:pPr>
    </w:p>
    <w:p w14:paraId="04F878CD" w14:textId="77777777" w:rsidR="00DD4B6A" w:rsidRDefault="00DD4B6A">
      <w:pPr>
        <w:jc w:val="both"/>
      </w:pPr>
      <w:r>
        <w:rPr>
          <w:b/>
          <w:u w:val="single"/>
        </w:rPr>
        <w:t>PRESENT VALUE BREAK-EVEN POINT:</w:t>
      </w:r>
      <w:r>
        <w:t xml:space="preserve"> The formula for calculating NPV is as follows:</w:t>
      </w:r>
    </w:p>
    <w:p w14:paraId="4B3EF929" w14:textId="77777777" w:rsidR="00DD4B6A" w:rsidRDefault="00DD4B6A">
      <w:pPr>
        <w:jc w:val="both"/>
      </w:pPr>
    </w:p>
    <w:p w14:paraId="49E96592" w14:textId="77777777" w:rsidR="00DD4B6A" w:rsidRDefault="00DD67A0">
      <w:pPr>
        <w:framePr w:w="9124" w:hSpace="240" w:vSpace="240" w:wrap="auto" w:vAnchor="text" w:hAnchor="margin" w:x="161" w:y="3"/>
        <w:pBdr>
          <w:top w:val="single" w:sz="6" w:space="0" w:color="FFFFFF"/>
          <w:left w:val="single" w:sz="6" w:space="0" w:color="FFFFFF"/>
          <w:bottom w:val="single" w:sz="6" w:space="0" w:color="FFFFFF"/>
          <w:right w:val="single" w:sz="6" w:space="0" w:color="FFFFFF"/>
        </w:pBdr>
        <w:jc w:val="center"/>
      </w:pPr>
      <w:r w:rsidRPr="00DD67A0">
        <w:rPr>
          <w:position w:val="-32"/>
          <w:sz w:val="20"/>
        </w:rPr>
        <w:object w:dxaOrig="4880" w:dyaOrig="720" w14:anchorId="1DB76B6F">
          <v:shape id="_x0000_i1029" type="#_x0000_t75" style="width:243.75pt;height:36pt" o:ole="" fillcolor="window">
            <v:imagedata r:id="rId16" o:title=""/>
          </v:shape>
          <o:OLEObject Type="Embed" ProgID="Equation.3" ShapeID="_x0000_i1029" DrawAspect="Content" ObjectID="_1835243946" r:id="rId17"/>
        </w:object>
      </w:r>
    </w:p>
    <w:p w14:paraId="19EA7D6A" w14:textId="77777777" w:rsidR="00DD4B6A" w:rsidRDefault="00DD4B6A">
      <w:pPr>
        <w:jc w:val="both"/>
      </w:pPr>
      <w:r>
        <w:t>If NPV = 0, then</w:t>
      </w:r>
    </w:p>
    <w:p w14:paraId="53DA0A26" w14:textId="77777777" w:rsidR="00DD4B6A" w:rsidRDefault="00DD67A0">
      <w:pPr>
        <w:framePr w:w="9124" w:hSpace="240" w:vSpace="240" w:wrap="auto" w:vAnchor="text" w:hAnchor="margin" w:x="119" w:y="148"/>
        <w:pBdr>
          <w:top w:val="single" w:sz="6" w:space="0" w:color="FFFFFF"/>
          <w:left w:val="single" w:sz="6" w:space="0" w:color="FFFFFF"/>
          <w:bottom w:val="single" w:sz="6" w:space="0" w:color="FFFFFF"/>
          <w:right w:val="single" w:sz="6" w:space="0" w:color="FFFFFF"/>
        </w:pBdr>
        <w:jc w:val="center"/>
      </w:pPr>
      <w:r>
        <w:rPr>
          <w:position w:val="-28"/>
          <w:sz w:val="20"/>
        </w:rPr>
        <w:object w:dxaOrig="5460" w:dyaOrig="1020" w14:anchorId="20A15073">
          <v:shape id="_x0000_i1030" type="#_x0000_t75" style="width:273pt;height:51pt" o:ole="" fillcolor="window">
            <v:imagedata r:id="rId18" o:title=""/>
          </v:shape>
          <o:OLEObject Type="Embed" ProgID="Equation.3" ShapeID="_x0000_i1030" DrawAspect="Content" ObjectID="_1835243947" r:id="rId19"/>
        </w:object>
      </w:r>
    </w:p>
    <w:p w14:paraId="6EC427F2" w14:textId="77777777" w:rsidR="00DD4B6A" w:rsidRDefault="00DD4B6A">
      <w:pPr>
        <w:jc w:val="both"/>
      </w:pPr>
      <w:r>
        <w:t>where C</w:t>
      </w:r>
      <w:r>
        <w:rPr>
          <w:vertAlign w:val="subscript"/>
        </w:rPr>
        <w:t xml:space="preserve">0 </w:t>
      </w:r>
      <w:proofErr w:type="gramStart"/>
      <w:r>
        <w:t>/(</w:t>
      </w:r>
      <w:proofErr w:type="gramEnd"/>
      <w:r>
        <w:t xml:space="preserve">PVIFA </w:t>
      </w:r>
      <w:r>
        <w:rPr>
          <w:vertAlign w:val="subscript"/>
        </w:rPr>
        <w:t>r, T</w:t>
      </w:r>
      <w:r>
        <w:t>) is the equivalent annual cost (EAC).</w:t>
      </w:r>
    </w:p>
    <w:p w14:paraId="763D6E70" w14:textId="77777777" w:rsidR="00DD4B6A" w:rsidRDefault="00DD4B6A">
      <w:pPr>
        <w:jc w:val="both"/>
      </w:pPr>
    </w:p>
    <w:p w14:paraId="2DC2C4E3" w14:textId="77777777" w:rsidR="00DD4B6A" w:rsidRDefault="00DD4B6A">
      <w:pPr>
        <w:ind w:firstLine="720"/>
        <w:jc w:val="both"/>
      </w:pPr>
      <w:r>
        <w:t>Comparison of the operating, accounting, and overall operating breakeven points can provide useful information about the firm' s flow of funds from operations.</w:t>
      </w:r>
    </w:p>
    <w:p w14:paraId="2407F83B" w14:textId="77777777" w:rsidR="00DD4B6A" w:rsidRDefault="00DD4B6A">
      <w:pPr>
        <w:jc w:val="both"/>
      </w:pPr>
    </w:p>
    <w:p w14:paraId="60CAB903" w14:textId="77777777" w:rsidR="00DD4B6A" w:rsidRDefault="00DD4B6A">
      <w:pPr>
        <w:jc w:val="both"/>
      </w:pPr>
      <w:r>
        <w:rPr>
          <w:b/>
        </w:rPr>
        <w:t>ANALYSIS and IMPACT of LEVERAGE</w:t>
      </w:r>
    </w:p>
    <w:p w14:paraId="5C28902A" w14:textId="77777777" w:rsidR="00DD4B6A" w:rsidRDefault="00DD4B6A">
      <w:pPr>
        <w:jc w:val="both"/>
        <w:rPr>
          <w:b/>
        </w:rPr>
      </w:pPr>
    </w:p>
    <w:p w14:paraId="1B2F8090" w14:textId="77777777" w:rsidR="00DD4B6A" w:rsidRDefault="00DD4B6A">
      <w:pPr>
        <w:tabs>
          <w:tab w:val="left" w:pos="-1440"/>
        </w:tabs>
        <w:ind w:left="720" w:hanging="720"/>
        <w:jc w:val="both"/>
      </w:pPr>
      <w:r>
        <w:rPr>
          <w:b/>
        </w:rPr>
        <w:t>1.</w:t>
      </w:r>
      <w:r>
        <w:rPr>
          <w:b/>
        </w:rPr>
        <w:tab/>
        <w:t>Operating Leverage</w:t>
      </w:r>
    </w:p>
    <w:p w14:paraId="0863DDF9" w14:textId="77777777" w:rsidR="00DD4B6A" w:rsidRDefault="00DD4B6A" w:rsidP="00D47AF7">
      <w:pPr>
        <w:ind w:firstLine="720"/>
        <w:jc w:val="both"/>
      </w:pPr>
      <w:r>
        <w:t>If fixed operating costs are presented in the firm</w:t>
      </w:r>
      <w:r w:rsidR="00D47AF7">
        <w:t>’</w:t>
      </w:r>
      <w:r>
        <w:t>s cost structure, operating leverage results.</w:t>
      </w:r>
    </w:p>
    <w:p w14:paraId="7A473BC5" w14:textId="77777777" w:rsidR="00DD4B6A" w:rsidRDefault="00DD4B6A">
      <w:pPr>
        <w:jc w:val="both"/>
      </w:pPr>
      <w:r>
        <w:t>High fixed costs arise from employing larger amounts of capital, thus permitting the firm to operate with reduced labor and smaller variable costs.</w:t>
      </w:r>
    </w:p>
    <w:p w14:paraId="19CCFC1D" w14:textId="77777777" w:rsidR="00DD4B6A" w:rsidRDefault="00DD4B6A">
      <w:pPr>
        <w:ind w:firstLine="720"/>
        <w:jc w:val="both"/>
      </w:pPr>
      <w:r>
        <w:t>A high degree of operating leverage means that a relatively small change in sales will result in a relatively large change in operating income.</w:t>
      </w:r>
    </w:p>
    <w:p w14:paraId="67F0AEA3" w14:textId="77777777" w:rsidR="00DD4B6A" w:rsidRDefault="00DD4B6A">
      <w:pPr>
        <w:jc w:val="both"/>
      </w:pPr>
    </w:p>
    <w:p w14:paraId="176895B5" w14:textId="77777777" w:rsidR="00DD4B6A" w:rsidRDefault="00DD4B6A">
      <w:pPr>
        <w:jc w:val="both"/>
        <w:sectPr w:rsidR="00DD4B6A">
          <w:endnotePr>
            <w:numFmt w:val="decimal"/>
          </w:endnotePr>
          <w:type w:val="continuous"/>
          <w:pgSz w:w="12240" w:h="15840"/>
          <w:pgMar w:top="1440" w:right="1440" w:bottom="1440" w:left="1440" w:header="1440" w:footer="1440" w:gutter="0"/>
          <w:cols w:space="720"/>
          <w:noEndnote/>
        </w:sectPr>
      </w:pPr>
    </w:p>
    <w:p w14:paraId="22440936" w14:textId="77777777" w:rsidR="00DD4B6A" w:rsidRDefault="00DD4B6A">
      <w:pPr>
        <w:ind w:firstLine="720"/>
        <w:jc w:val="both"/>
      </w:pPr>
      <w:r>
        <w:t xml:space="preserve">The </w:t>
      </w:r>
      <w:r>
        <w:rPr>
          <w:b/>
          <w:i/>
        </w:rPr>
        <w:t>degree of operating leverage</w:t>
      </w:r>
      <w:r>
        <w:rPr>
          <w:i/>
        </w:rPr>
        <w:t xml:space="preserve"> (DOL) </w:t>
      </w:r>
      <w:r>
        <w:t>measures the effect of a change in sales volume on earnings before interest and taxes (EBIT). It is defined as the percentage change in EBIT associated with a given percentage change in sales:</w:t>
      </w:r>
    </w:p>
    <w:p w14:paraId="272228E5" w14:textId="77777777" w:rsidR="00DD4B6A" w:rsidRDefault="00DD4B6A">
      <w:pPr>
        <w:jc w:val="both"/>
      </w:pPr>
    </w:p>
    <w:p w14:paraId="6487AF95" w14:textId="77777777" w:rsidR="00DD4B6A" w:rsidRDefault="00DD67A0">
      <w:pPr>
        <w:framePr w:w="9124" w:hSpace="240" w:vSpace="240" w:wrap="auto" w:vAnchor="text" w:hAnchor="margin" w:x="119" w:y="2"/>
        <w:pBdr>
          <w:top w:val="single" w:sz="6" w:space="0" w:color="FFFFFF"/>
          <w:left w:val="single" w:sz="6" w:space="0" w:color="FFFFFF"/>
          <w:bottom w:val="single" w:sz="6" w:space="0" w:color="FFFFFF"/>
          <w:right w:val="single" w:sz="6" w:space="0" w:color="FFFFFF"/>
        </w:pBdr>
        <w:jc w:val="center"/>
      </w:pPr>
      <w:r w:rsidRPr="00DD67A0">
        <w:rPr>
          <w:position w:val="-56"/>
          <w:sz w:val="20"/>
        </w:rPr>
        <w:object w:dxaOrig="4340" w:dyaOrig="1219" w14:anchorId="67981E6C">
          <v:shape id="_x0000_i1031" type="#_x0000_t75" style="width:216.75pt;height:60.75pt" o:ole="" fillcolor="window">
            <v:imagedata r:id="rId20" o:title=""/>
          </v:shape>
          <o:OLEObject Type="Embed" ProgID="Equation.3" ShapeID="_x0000_i1031" DrawAspect="Content" ObjectID="_1835243948" r:id="rId21"/>
        </w:object>
      </w:r>
    </w:p>
    <w:p w14:paraId="4467D187" w14:textId="77777777" w:rsidR="00DD4B6A" w:rsidRDefault="00DD4B6A">
      <w:pPr>
        <w:jc w:val="both"/>
      </w:pPr>
    </w:p>
    <w:p w14:paraId="5DDDFF2F" w14:textId="77777777" w:rsidR="00DD4B6A" w:rsidRDefault="00DD4B6A" w:rsidP="001C2A32">
      <w:pPr>
        <w:jc w:val="both"/>
      </w:pPr>
      <w:r>
        <w:t>The degree of operating leverage can also be stated in terms of sales revenue, DOL</w:t>
      </w:r>
      <w:r>
        <w:rPr>
          <w:vertAlign w:val="subscript"/>
        </w:rPr>
        <w:t>S</w:t>
      </w:r>
      <w:r>
        <w:t>:</w:t>
      </w:r>
    </w:p>
    <w:p w14:paraId="2893916E" w14:textId="77777777" w:rsidR="00DD4B6A" w:rsidRDefault="00DD4B6A">
      <w:pPr>
        <w:framePr w:w="9124" w:hSpace="240" w:vSpace="240" w:wrap="auto" w:vAnchor="text" w:hAnchor="margin" w:x="119" w:y="2"/>
        <w:pBdr>
          <w:top w:val="single" w:sz="6" w:space="0" w:color="FFFFFF"/>
          <w:left w:val="single" w:sz="6" w:space="0" w:color="FFFFFF"/>
          <w:bottom w:val="single" w:sz="6" w:space="0" w:color="FFFFFF"/>
          <w:right w:val="single" w:sz="6" w:space="0" w:color="FFFFFF"/>
        </w:pBdr>
        <w:jc w:val="center"/>
      </w:pPr>
      <w:r>
        <w:rPr>
          <w:position w:val="-24"/>
          <w:sz w:val="20"/>
        </w:rPr>
        <w:object w:dxaOrig="5460" w:dyaOrig="620" w14:anchorId="51D3FC7C">
          <v:shape id="_x0000_i1032" type="#_x0000_t75" style="width:273pt;height:30.75pt" o:ole="" fillcolor="window">
            <v:imagedata r:id="rId22" o:title=""/>
          </v:shape>
          <o:OLEObject Type="Embed" ProgID="Equation.3" ShapeID="_x0000_i1032" DrawAspect="Content" ObjectID="_1835243949" r:id="rId23"/>
        </w:object>
      </w:r>
    </w:p>
    <w:p w14:paraId="403EFD41" w14:textId="77777777" w:rsidR="00DD4B6A" w:rsidRDefault="00DD4B6A" w:rsidP="00DD67A0">
      <w:pPr>
        <w:pStyle w:val="a"/>
        <w:numPr>
          <w:ilvl w:val="0"/>
          <w:numId w:val="6"/>
        </w:numPr>
        <w:tabs>
          <w:tab w:val="left" w:pos="-1440"/>
        </w:tabs>
        <w:jc w:val="both"/>
      </w:pPr>
      <w:r>
        <w:t>The higher the degree of operating leverage, the more profits will fluctuate, in both an upward and a downward direction, in response to changes in sales volume.</w:t>
      </w:r>
    </w:p>
    <w:p w14:paraId="4B868DB7" w14:textId="77777777" w:rsidR="00DD4B6A" w:rsidRDefault="00DD4B6A" w:rsidP="00DD67A0">
      <w:pPr>
        <w:pStyle w:val="a"/>
        <w:numPr>
          <w:ilvl w:val="0"/>
          <w:numId w:val="6"/>
        </w:numPr>
        <w:tabs>
          <w:tab w:val="left" w:pos="-1440"/>
        </w:tabs>
        <w:jc w:val="both"/>
      </w:pPr>
      <w:r>
        <w:t>The closer a firm is to its operating breakeven point, the greater is its degree of operating leverage.</w:t>
      </w:r>
    </w:p>
    <w:p w14:paraId="030A2E6D" w14:textId="77777777" w:rsidR="001C2A32" w:rsidRPr="001C2A32" w:rsidRDefault="001C2A32" w:rsidP="001C2A32">
      <w:pPr>
        <w:widowControl/>
        <w:rPr>
          <w:snapToGrid/>
          <w:lang w:eastAsia="zh-CN"/>
        </w:rPr>
      </w:pPr>
      <w:r w:rsidRPr="001C2A32">
        <w:rPr>
          <w:snapToGrid/>
          <w:lang w:eastAsia="zh-CN"/>
        </w:rPr>
        <w:t>It can generally be concluded that the higher the DOL for a particular firm, the closer the firm is to its operating breakeven point, and the more sensitive its operating income is to a change in sales volume.</w:t>
      </w:r>
    </w:p>
    <w:p w14:paraId="48804299" w14:textId="77777777" w:rsidR="00DD4B6A" w:rsidRDefault="00DD4B6A" w:rsidP="00DD67A0">
      <w:pPr>
        <w:pStyle w:val="a"/>
        <w:numPr>
          <w:ilvl w:val="0"/>
          <w:numId w:val="6"/>
        </w:numPr>
        <w:tabs>
          <w:tab w:val="left" w:pos="-1440"/>
        </w:tabs>
        <w:jc w:val="both"/>
      </w:pPr>
      <w:r>
        <w:t>Firms with higher DOLs generally are considered to have riskier operations than firms with lower DOLs.</w:t>
      </w:r>
    </w:p>
    <w:p w14:paraId="5A5B5D24" w14:textId="77777777" w:rsidR="001C2A32" w:rsidRDefault="001C2A32" w:rsidP="001C2A32">
      <w:pPr>
        <w:pStyle w:val="Quick1"/>
        <w:numPr>
          <w:ilvl w:val="0"/>
          <w:numId w:val="0"/>
        </w:numPr>
        <w:tabs>
          <w:tab w:val="left" w:pos="-1440"/>
        </w:tabs>
        <w:ind w:left="720" w:hanging="720"/>
        <w:jc w:val="both"/>
        <w:rPr>
          <w:b/>
        </w:rPr>
      </w:pPr>
    </w:p>
    <w:p w14:paraId="2486C1B7" w14:textId="66845C1D" w:rsidR="00DD4B6A" w:rsidRPr="001C2A32" w:rsidRDefault="00DD4B6A" w:rsidP="001C2A32">
      <w:pPr>
        <w:pStyle w:val="Quick1"/>
        <w:numPr>
          <w:ilvl w:val="0"/>
          <w:numId w:val="8"/>
        </w:numPr>
        <w:tabs>
          <w:tab w:val="left" w:pos="-1440"/>
        </w:tabs>
        <w:jc w:val="both"/>
        <w:rPr>
          <w:b/>
        </w:rPr>
      </w:pPr>
      <w:r w:rsidRPr="001C2A32">
        <w:rPr>
          <w:b/>
        </w:rPr>
        <w:t>Financial leverage</w:t>
      </w:r>
    </w:p>
    <w:p w14:paraId="3A948CB4" w14:textId="77777777" w:rsidR="001C2A32" w:rsidRPr="001C2A32" w:rsidRDefault="001C2A32" w:rsidP="001C2A32">
      <w:pPr>
        <w:pStyle w:val="Quick1"/>
        <w:widowControl/>
        <w:numPr>
          <w:ilvl w:val="0"/>
          <w:numId w:val="8"/>
        </w:numPr>
        <w:rPr>
          <w:snapToGrid/>
          <w:lang w:eastAsia="zh-CN"/>
        </w:rPr>
      </w:pPr>
      <w:r w:rsidRPr="001C2A32">
        <w:rPr>
          <w:snapToGrid/>
          <w:lang w:eastAsia="zh-CN"/>
        </w:rPr>
        <w:t>Financial leverage considers the impact that changing operating income has on earnings per share, or earnings available to common stockholders.</w:t>
      </w:r>
    </w:p>
    <w:p w14:paraId="6FE6B393" w14:textId="77777777" w:rsidR="001C2A32" w:rsidRPr="001C2A32" w:rsidRDefault="001C2A32" w:rsidP="001C2A32">
      <w:pPr>
        <w:pStyle w:val="Quick1"/>
        <w:widowControl/>
        <w:numPr>
          <w:ilvl w:val="0"/>
          <w:numId w:val="8"/>
        </w:numPr>
        <w:rPr>
          <w:snapToGrid/>
          <w:lang w:eastAsia="zh-CN"/>
        </w:rPr>
      </w:pPr>
      <w:r w:rsidRPr="001C2A32">
        <w:rPr>
          <w:snapToGrid/>
          <w:lang w:eastAsia="zh-CN"/>
        </w:rPr>
        <w:t>Financial leverage takes over where operating leverage leaves off, further magnifying the effects on earnings per share of changes in the level of sales. For this reason, operating leverage is sometimes referred to as first-stage leverage, and financial leverage is referred to as second-stage leverage.</w:t>
      </w:r>
    </w:p>
    <w:p w14:paraId="41731250" w14:textId="77777777" w:rsidR="00DD4B6A" w:rsidRDefault="00DD4B6A">
      <w:pPr>
        <w:jc w:val="both"/>
      </w:pPr>
    </w:p>
    <w:p w14:paraId="76924F97" w14:textId="77777777" w:rsidR="00DD4B6A" w:rsidRDefault="00DD4B6A" w:rsidP="00DD67A0">
      <w:pPr>
        <w:pStyle w:val="a"/>
        <w:numPr>
          <w:ilvl w:val="0"/>
          <w:numId w:val="5"/>
        </w:numPr>
        <w:tabs>
          <w:tab w:val="left" w:pos="-1440"/>
        </w:tabs>
        <w:jc w:val="both"/>
      </w:pPr>
      <w:r>
        <w:t xml:space="preserve">The </w:t>
      </w:r>
      <w:r>
        <w:rPr>
          <w:b/>
          <w:i/>
        </w:rPr>
        <w:t>degree of financial leverage</w:t>
      </w:r>
      <w:r>
        <w:rPr>
          <w:i/>
        </w:rPr>
        <w:t xml:space="preserve"> (DOFL) </w:t>
      </w:r>
      <w:r>
        <w:t xml:space="preserve">is defined as the </w:t>
      </w:r>
      <w:proofErr w:type="gramStart"/>
      <w:r>
        <w:t>percent</w:t>
      </w:r>
      <w:proofErr w:type="gramEnd"/>
      <w:r>
        <w:t xml:space="preserve"> change in EPS that results from a given percent change in EBIT, and it is calculated as:</w:t>
      </w:r>
    </w:p>
    <w:p w14:paraId="66044D76" w14:textId="77777777" w:rsidR="00DD4B6A" w:rsidRDefault="00DD4B6A">
      <w:pPr>
        <w:jc w:val="both"/>
      </w:pPr>
    </w:p>
    <w:p w14:paraId="4E1CA093" w14:textId="77777777" w:rsidR="00DD4B6A" w:rsidRDefault="00DD67A0" w:rsidP="00DD67A0">
      <w:pPr>
        <w:framePr w:w="9124" w:hSpace="240" w:vSpace="240" w:wrap="auto" w:vAnchor="text" w:hAnchor="margin" w:x="119" w:y="2"/>
        <w:pBdr>
          <w:top w:val="single" w:sz="6" w:space="0" w:color="FFFFFF"/>
          <w:left w:val="single" w:sz="6" w:space="0" w:color="FFFFFF"/>
          <w:bottom w:val="single" w:sz="6" w:space="0" w:color="FFFFFF"/>
          <w:right w:val="single" w:sz="6" w:space="0" w:color="FFFFFF"/>
        </w:pBdr>
        <w:ind w:left="720"/>
        <w:jc w:val="center"/>
      </w:pPr>
      <w:r>
        <w:rPr>
          <w:position w:val="-28"/>
          <w:sz w:val="20"/>
        </w:rPr>
        <w:object w:dxaOrig="3480" w:dyaOrig="660" w14:anchorId="4C8A066D">
          <v:shape id="_x0000_i1033" type="#_x0000_t75" style="width:174pt;height:33pt" o:ole="" fillcolor="window">
            <v:imagedata r:id="rId24" o:title=""/>
          </v:shape>
          <o:OLEObject Type="Embed" ProgID="Equation.3" ShapeID="_x0000_i1033" DrawAspect="Content" ObjectID="_1835243950" r:id="rId25"/>
        </w:object>
      </w:r>
    </w:p>
    <w:p w14:paraId="3B491925" w14:textId="77777777" w:rsidR="00DD4B6A" w:rsidRDefault="00DD4B6A" w:rsidP="00DD67A0">
      <w:pPr>
        <w:pStyle w:val="a"/>
        <w:numPr>
          <w:ilvl w:val="0"/>
          <w:numId w:val="5"/>
        </w:numPr>
        <w:tabs>
          <w:tab w:val="left" w:pos="-1440"/>
        </w:tabs>
        <w:jc w:val="both"/>
      </w:pPr>
      <w:r>
        <w:t>To find the effects on income available to common stockholders, multiply the percentage change in EBIT by DOFL. The greater the degree of financial leverage, the greater the impact of a given change in EBIT on EPS.</w:t>
      </w:r>
    </w:p>
    <w:p w14:paraId="7E566FF0" w14:textId="77777777" w:rsidR="00DD4B6A" w:rsidRDefault="00DD4B6A" w:rsidP="00DD67A0">
      <w:pPr>
        <w:pStyle w:val="a"/>
        <w:numPr>
          <w:ilvl w:val="0"/>
          <w:numId w:val="5"/>
        </w:numPr>
        <w:tabs>
          <w:tab w:val="left" w:pos="-1440"/>
        </w:tabs>
        <w:jc w:val="both"/>
      </w:pPr>
      <w:r>
        <w:t xml:space="preserve">The higher the DOFL for a particular firm, then it generally can be concluded the closer </w:t>
      </w:r>
      <w:r>
        <w:lastRenderedPageBreak/>
        <w:t>the firm is to its financial breakeven point, and the more sensitive its EPS is to a change in operating income.</w:t>
      </w:r>
    </w:p>
    <w:p w14:paraId="55113FAD" w14:textId="77777777" w:rsidR="00DD4B6A" w:rsidRDefault="00DD4B6A" w:rsidP="00DD67A0">
      <w:pPr>
        <w:pStyle w:val="a"/>
        <w:numPr>
          <w:ilvl w:val="0"/>
          <w:numId w:val="5"/>
        </w:numPr>
        <w:tabs>
          <w:tab w:val="left" w:pos="-1440"/>
        </w:tabs>
        <w:jc w:val="both"/>
      </w:pPr>
      <w:r>
        <w:t>Firms with higher DOFLs generally are considered to have greater financial risk than firms with lower DOFLs.</w:t>
      </w:r>
    </w:p>
    <w:p w14:paraId="11C4A27F" w14:textId="77777777" w:rsidR="00DD4B6A" w:rsidRDefault="00DD4B6A">
      <w:pPr>
        <w:jc w:val="both"/>
      </w:pPr>
      <w:r>
        <w:t>.</w:t>
      </w:r>
    </w:p>
    <w:p w14:paraId="3F9AA306" w14:textId="10C7B4F8" w:rsidR="00DD4B6A" w:rsidRDefault="001C2A32" w:rsidP="001C2A32">
      <w:pPr>
        <w:pStyle w:val="Quick1"/>
        <w:numPr>
          <w:ilvl w:val="0"/>
          <w:numId w:val="8"/>
        </w:numPr>
        <w:tabs>
          <w:tab w:val="left" w:pos="-1440"/>
        </w:tabs>
      </w:pPr>
      <w:r w:rsidRPr="001C2A32">
        <w:rPr>
          <w:b/>
        </w:rPr>
        <w:t>Degree</w:t>
      </w:r>
      <w:r w:rsidR="00DD4B6A" w:rsidRPr="001C2A32">
        <w:rPr>
          <w:b/>
        </w:rPr>
        <w:t xml:space="preserve"> of total leverage (DTL)</w:t>
      </w:r>
      <w:r w:rsidR="00DD4B6A">
        <w:t xml:space="preserve"> combines DOL and DOFL.</w:t>
      </w:r>
    </w:p>
    <w:p w14:paraId="2A6D028F" w14:textId="77777777" w:rsidR="00DD4B6A" w:rsidRDefault="00DD4B6A">
      <w:pPr>
        <w:ind w:left="720"/>
        <w:jc w:val="both"/>
      </w:pPr>
      <w:r>
        <w:t xml:space="preserve">The </w:t>
      </w:r>
      <w:r>
        <w:rPr>
          <w:b/>
          <w:i/>
        </w:rPr>
        <w:t>degree of total leverage</w:t>
      </w:r>
      <w:r>
        <w:rPr>
          <w:i/>
        </w:rPr>
        <w:t xml:space="preserve"> (DTL) </w:t>
      </w:r>
      <w:r>
        <w:t xml:space="preserve">is defined as the </w:t>
      </w:r>
      <w:proofErr w:type="gramStart"/>
      <w:r>
        <w:t>percent</w:t>
      </w:r>
      <w:proofErr w:type="gramEnd"/>
      <w:r>
        <w:t xml:space="preserve"> change in EPS resulting from a change in sales volume.</w:t>
      </w:r>
    </w:p>
    <w:p w14:paraId="3307F893" w14:textId="77777777" w:rsidR="00DD4B6A" w:rsidRDefault="00DD4B6A">
      <w:pPr>
        <w:ind w:left="720"/>
        <w:jc w:val="both"/>
      </w:pPr>
      <w:r>
        <w:t>The Degree of total leverage (DTL</w:t>
      </w:r>
      <w:r>
        <w:rPr>
          <w:b/>
        </w:rPr>
        <w:t>)</w:t>
      </w:r>
      <w:r>
        <w:t xml:space="preserve"> combines DOL and DOFL, and this relationship between DOL and DOFL can be written as:</w:t>
      </w:r>
    </w:p>
    <w:p w14:paraId="53D7E3F6" w14:textId="77777777" w:rsidR="00DD4B6A" w:rsidRDefault="00DD4B6A">
      <w:pPr>
        <w:jc w:val="both"/>
      </w:pPr>
    </w:p>
    <w:p w14:paraId="1C5135ED" w14:textId="77777777" w:rsidR="00DD4B6A" w:rsidRDefault="00DD4B6A">
      <w:pPr>
        <w:ind w:firstLine="1440"/>
        <w:jc w:val="both"/>
      </w:pPr>
      <w:r>
        <w:t>DTL = DOL x DOFL</w:t>
      </w:r>
    </w:p>
    <w:p w14:paraId="728E8B9A" w14:textId="77777777" w:rsidR="00DD4B6A" w:rsidRDefault="00DD4B6A">
      <w:pPr>
        <w:jc w:val="both"/>
      </w:pPr>
    </w:p>
    <w:p w14:paraId="618E9039" w14:textId="77777777" w:rsidR="00DD4B6A" w:rsidRDefault="00DD4B6A">
      <w:pPr>
        <w:jc w:val="both"/>
      </w:pPr>
      <w:r>
        <w:t>This equation can be rewritten as:</w:t>
      </w:r>
    </w:p>
    <w:p w14:paraId="353FCF85" w14:textId="77777777" w:rsidR="00DD4B6A" w:rsidRDefault="00DD67A0">
      <w:pPr>
        <w:framePr w:w="9124" w:hSpace="240" w:vSpace="240" w:wrap="auto" w:vAnchor="text" w:hAnchor="margin" w:x="119" w:y="2"/>
        <w:pBdr>
          <w:top w:val="single" w:sz="6" w:space="0" w:color="FFFFFF"/>
          <w:left w:val="single" w:sz="6" w:space="0" w:color="FFFFFF"/>
          <w:bottom w:val="single" w:sz="6" w:space="0" w:color="FFFFFF"/>
          <w:right w:val="single" w:sz="6" w:space="0" w:color="FFFFFF"/>
        </w:pBdr>
        <w:jc w:val="center"/>
      </w:pPr>
      <w:r>
        <w:rPr>
          <w:position w:val="-28"/>
          <w:sz w:val="20"/>
        </w:rPr>
        <w:object w:dxaOrig="3420" w:dyaOrig="660" w14:anchorId="2EAAC21E">
          <v:shape id="_x0000_i1034" type="#_x0000_t75" style="width:171pt;height:33pt" o:ole="" fillcolor="window">
            <v:imagedata r:id="rId26" o:title=""/>
          </v:shape>
          <o:OLEObject Type="Embed" ProgID="Equation.3" ShapeID="_x0000_i1034" DrawAspect="Content" ObjectID="_1835243951" r:id="rId27"/>
        </w:object>
      </w:r>
    </w:p>
    <w:p w14:paraId="6C0901F9" w14:textId="77777777" w:rsidR="00DD4B6A" w:rsidRDefault="00DD4B6A">
      <w:pPr>
        <w:jc w:val="both"/>
      </w:pPr>
    </w:p>
    <w:p w14:paraId="309D9370" w14:textId="77777777" w:rsidR="00DD4B6A" w:rsidRDefault="00DD4B6A">
      <w:pPr>
        <w:jc w:val="both"/>
      </w:pPr>
      <w:r>
        <w:t>DTL can be used to compute the new earnings per share (EPS</w:t>
      </w:r>
      <w:r>
        <w:rPr>
          <w:vertAlign w:val="subscript"/>
        </w:rPr>
        <w:t xml:space="preserve"> projected</w:t>
      </w:r>
      <w:r>
        <w:t>) after a change in sales volume:</w:t>
      </w:r>
    </w:p>
    <w:p w14:paraId="282DEB68" w14:textId="77777777" w:rsidR="00DD4B6A" w:rsidRDefault="00DD4B6A">
      <w:pPr>
        <w:jc w:val="both"/>
      </w:pPr>
    </w:p>
    <w:p w14:paraId="04ACC5B5" w14:textId="68074D3F" w:rsidR="00DD4B6A" w:rsidRDefault="00DD4B6A">
      <w:pPr>
        <w:ind w:firstLine="1440"/>
        <w:jc w:val="both"/>
      </w:pPr>
      <w:r>
        <w:rPr>
          <w:b/>
          <w:sz w:val="28"/>
        </w:rPr>
        <w:t xml:space="preserve">EPS </w:t>
      </w:r>
      <w:r>
        <w:rPr>
          <w:b/>
          <w:sz w:val="28"/>
          <w:vertAlign w:val="subscript"/>
        </w:rPr>
        <w:t>projected</w:t>
      </w:r>
      <w:r>
        <w:rPr>
          <w:b/>
          <w:sz w:val="28"/>
        </w:rPr>
        <w:t xml:space="preserve"> = EPS [1 + (% </w:t>
      </w:r>
      <w:r>
        <w:rPr>
          <w:rFonts w:ascii="Symbol" w:hAnsi="Symbol"/>
          <w:b/>
          <w:sz w:val="28"/>
        </w:rPr>
        <w:t></w:t>
      </w:r>
      <w:r>
        <w:rPr>
          <w:b/>
          <w:sz w:val="28"/>
        </w:rPr>
        <w:t xml:space="preserve"> </w:t>
      </w:r>
      <w:r w:rsidR="001C2A32">
        <w:rPr>
          <w:b/>
          <w:sz w:val="28"/>
        </w:rPr>
        <w:t>Sales) (</w:t>
      </w:r>
      <w:r>
        <w:rPr>
          <w:b/>
          <w:sz w:val="28"/>
        </w:rPr>
        <w:t>DTL)].</w:t>
      </w:r>
    </w:p>
    <w:p w14:paraId="73296AD2" w14:textId="77777777" w:rsidR="00DD4B6A" w:rsidRDefault="00DD4B6A">
      <w:pPr>
        <w:jc w:val="both"/>
      </w:pPr>
    </w:p>
    <w:p w14:paraId="16F3F1BA" w14:textId="77777777" w:rsidR="00DD67A0" w:rsidRDefault="00DD4B6A" w:rsidP="00DD67A0">
      <w:pPr>
        <w:pStyle w:val="a"/>
        <w:numPr>
          <w:ilvl w:val="0"/>
          <w:numId w:val="4"/>
        </w:numPr>
        <w:tabs>
          <w:tab w:val="left" w:pos="-1440"/>
        </w:tabs>
        <w:jc w:val="both"/>
      </w:pPr>
      <w:r>
        <w:t>DTL is useful primarily for the insights it provides regarding the joint effects of operating and financial leverage on earnings per share.</w:t>
      </w:r>
    </w:p>
    <w:p w14:paraId="278D34BA" w14:textId="77777777" w:rsidR="00DD4B6A" w:rsidRDefault="00DD4B6A" w:rsidP="00DD67A0">
      <w:pPr>
        <w:pStyle w:val="a"/>
        <w:numPr>
          <w:ilvl w:val="0"/>
          <w:numId w:val="4"/>
        </w:numPr>
        <w:tabs>
          <w:tab w:val="left" w:pos="-1440"/>
        </w:tabs>
        <w:jc w:val="both"/>
      </w:pPr>
      <w:r>
        <w:t>The forecasting (planning) and control of the firm is an ongoing activity, a vital function to the long-run survival of any firm.</w:t>
      </w:r>
    </w:p>
    <w:p w14:paraId="6F2C9A56" w14:textId="77777777" w:rsidR="00DD4B6A" w:rsidRDefault="00DD4B6A" w:rsidP="00DD67A0">
      <w:pPr>
        <w:pStyle w:val="a"/>
        <w:numPr>
          <w:ilvl w:val="0"/>
          <w:numId w:val="4"/>
        </w:numPr>
        <w:tabs>
          <w:tab w:val="left" w:pos="-1440"/>
        </w:tabs>
        <w:jc w:val="both"/>
      </w:pPr>
      <w:r>
        <w:t>If projected operating results are unsatisfactory, management can reformulate its plans and develop more reasonable targets for the coming year.</w:t>
      </w:r>
    </w:p>
    <w:p w14:paraId="1D29BC1F" w14:textId="77777777" w:rsidR="00DD4B6A" w:rsidRDefault="00DD4B6A" w:rsidP="00DD67A0">
      <w:pPr>
        <w:pStyle w:val="a"/>
        <w:numPr>
          <w:ilvl w:val="0"/>
          <w:numId w:val="4"/>
        </w:numPr>
        <w:tabs>
          <w:tab w:val="left" w:pos="-1440"/>
        </w:tabs>
        <w:jc w:val="both"/>
      </w:pPr>
      <w:r>
        <w:t>If the funds required to meet the sales forecast cannot be obtained, the projected level of operations can be scaled back.</w:t>
      </w:r>
    </w:p>
    <w:p w14:paraId="6522B3DF" w14:textId="77777777" w:rsidR="00DD4B6A" w:rsidRDefault="00DD4B6A" w:rsidP="00DD67A0">
      <w:pPr>
        <w:pStyle w:val="a"/>
        <w:numPr>
          <w:ilvl w:val="0"/>
          <w:numId w:val="4"/>
        </w:numPr>
        <w:tabs>
          <w:tab w:val="left" w:pos="-1440"/>
        </w:tabs>
        <w:jc w:val="both"/>
      </w:pPr>
      <w:r>
        <w:t>It is desirable to plan for the acquisition of funds well in advance.</w:t>
      </w:r>
    </w:p>
    <w:p w14:paraId="7F5B5E34" w14:textId="77777777" w:rsidR="00DD4B6A" w:rsidRDefault="00DD4B6A" w:rsidP="00DD67A0">
      <w:pPr>
        <w:pStyle w:val="a"/>
        <w:numPr>
          <w:ilvl w:val="0"/>
          <w:numId w:val="4"/>
        </w:numPr>
        <w:tabs>
          <w:tab w:val="left" w:pos="-1440"/>
        </w:tabs>
        <w:jc w:val="both"/>
      </w:pPr>
      <w:r>
        <w:t>Any deviation from projections needs to be dealt with to improve future forecasts and the predictability of the firm's operations to ensure the goals of the firm are being pursued appropriately.</w:t>
      </w:r>
    </w:p>
    <w:p w14:paraId="6F39FC2E" w14:textId="072FA4D3" w:rsidR="00DD4B6A" w:rsidRDefault="004F0181">
      <w:pPr>
        <w:jc w:val="both"/>
      </w:pPr>
      <w:r w:rsidRPr="00A7482E">
        <w:rPr>
          <w:noProof/>
          <w:snapToGrid/>
        </w:rPr>
        <w:lastRenderedPageBreak/>
        <w:drawing>
          <wp:inline distT="0" distB="0" distL="0" distR="0" wp14:anchorId="54C72353" wp14:editId="7DDC4AD4">
            <wp:extent cx="5934075" cy="5257800"/>
            <wp:effectExtent l="0" t="0" r="0" b="0"/>
            <wp:docPr id="1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application&#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4075" cy="5257800"/>
                    </a:xfrm>
                    <a:prstGeom prst="rect">
                      <a:avLst/>
                    </a:prstGeom>
                    <a:noFill/>
                    <a:ln>
                      <a:noFill/>
                    </a:ln>
                  </pic:spPr>
                </pic:pic>
              </a:graphicData>
            </a:graphic>
          </wp:inline>
        </w:drawing>
      </w:r>
    </w:p>
    <w:sectPr w:rsidR="00DD4B6A">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DBDC" w14:textId="77777777" w:rsidR="00866AE0" w:rsidRDefault="00866AE0">
      <w:r>
        <w:separator/>
      </w:r>
    </w:p>
  </w:endnote>
  <w:endnote w:type="continuationSeparator" w:id="0">
    <w:p w14:paraId="59C9299F" w14:textId="77777777" w:rsidR="00866AE0" w:rsidRDefault="0086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WP MathA">
    <w:altName w:val="Symbol"/>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3E0D" w14:textId="77777777" w:rsidR="00DD4B6A" w:rsidRDefault="00DD4B6A">
    <w:pPr>
      <w:spacing w:line="240" w:lineRule="exact"/>
    </w:pPr>
  </w:p>
  <w:p w14:paraId="7E703722" w14:textId="77777777" w:rsidR="00DD4B6A" w:rsidRDefault="00DD4B6A">
    <w:pPr>
      <w:framePr w:w="9361" w:wrap="notBeside" w:vAnchor="text" w:hAnchor="text" w:x="1" w:y="1"/>
      <w:jc w:val="center"/>
    </w:pPr>
    <w:r>
      <w:fldChar w:fldCharType="begin"/>
    </w:r>
    <w:r>
      <w:instrText xml:space="preserve">PAGE </w:instrText>
    </w:r>
    <w:r>
      <w:fldChar w:fldCharType="separate"/>
    </w:r>
    <w:r w:rsidR="00104122">
      <w:rPr>
        <w:noProof/>
      </w:rPr>
      <w:t>1</w:t>
    </w:r>
    <w:r>
      <w:fldChar w:fldCharType="end"/>
    </w:r>
  </w:p>
  <w:p w14:paraId="32001F52" w14:textId="77777777" w:rsidR="00DD4B6A" w:rsidRDefault="00DD4B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874C" w14:textId="77777777" w:rsidR="00866AE0" w:rsidRDefault="00866AE0">
      <w:r>
        <w:separator/>
      </w:r>
    </w:p>
  </w:footnote>
  <w:footnote w:type="continuationSeparator" w:id="0">
    <w:p w14:paraId="5FAEA24F" w14:textId="77777777" w:rsidR="00866AE0" w:rsidRDefault="00866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053F5FDC"/>
    <w:multiLevelType w:val="hybridMultilevel"/>
    <w:tmpl w:val="A15AA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F1102"/>
    <w:multiLevelType w:val="hybridMultilevel"/>
    <w:tmpl w:val="4030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45F04"/>
    <w:multiLevelType w:val="hybridMultilevel"/>
    <w:tmpl w:val="DCF65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40B8B"/>
    <w:multiLevelType w:val="hybridMultilevel"/>
    <w:tmpl w:val="EED85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5738916">
    <w:abstractNumId w:val="1"/>
    <w:lvlOverride w:ilvl="0">
      <w:startOverride w:val="1"/>
      <w:lvl w:ilvl="0">
        <w:start w:val="1"/>
        <w:numFmt w:val="decimal"/>
        <w:pStyle w:val="Quick1"/>
        <w:lvlText w:val="%1."/>
        <w:lvlJc w:val="left"/>
      </w:lvl>
    </w:lvlOverride>
  </w:num>
  <w:num w:numId="2" w16cid:durableId="613825770">
    <w:abstractNumId w:val="1"/>
    <w:lvlOverride w:ilvl="0">
      <w:startOverride w:val="2"/>
      <w:lvl w:ilvl="0">
        <w:start w:val="2"/>
        <w:numFmt w:val="decimal"/>
        <w:pStyle w:val="Quick1"/>
        <w:lvlText w:val="%1."/>
        <w:lvlJc w:val="left"/>
      </w:lvl>
    </w:lvlOverride>
  </w:num>
  <w:num w:numId="3" w16cid:durableId="1067805847">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16cid:durableId="504368193">
    <w:abstractNumId w:val="4"/>
  </w:num>
  <w:num w:numId="5" w16cid:durableId="1748764408">
    <w:abstractNumId w:val="3"/>
  </w:num>
  <w:num w:numId="6" w16cid:durableId="441337870">
    <w:abstractNumId w:val="5"/>
  </w:num>
  <w:num w:numId="7" w16cid:durableId="1998730253">
    <w:abstractNumId w:val="2"/>
  </w:num>
  <w:num w:numId="8" w16cid:durableId="142817088">
    <w:abstractNumId w:val="1"/>
    <w:lvlOverride w:ilvl="0">
      <w:startOverride w:val="2"/>
      <w:lvl w:ilvl="0">
        <w:start w:val="2"/>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F7"/>
    <w:rsid w:val="000F35A0"/>
    <w:rsid w:val="00104122"/>
    <w:rsid w:val="00115229"/>
    <w:rsid w:val="001C2A32"/>
    <w:rsid w:val="001C499D"/>
    <w:rsid w:val="002E542E"/>
    <w:rsid w:val="00363A9C"/>
    <w:rsid w:val="00400B28"/>
    <w:rsid w:val="004F0181"/>
    <w:rsid w:val="00745BB4"/>
    <w:rsid w:val="00866AE0"/>
    <w:rsid w:val="00896A00"/>
    <w:rsid w:val="00A7482E"/>
    <w:rsid w:val="00A92F5E"/>
    <w:rsid w:val="00B4280F"/>
    <w:rsid w:val="00C5710D"/>
    <w:rsid w:val="00CA0BAC"/>
    <w:rsid w:val="00D4031E"/>
    <w:rsid w:val="00D47AF7"/>
    <w:rsid w:val="00DD4B6A"/>
    <w:rsid w:val="00DD67A0"/>
    <w:rsid w:val="00E1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67C90"/>
  <w15:chartTrackingRefBased/>
  <w15:docId w15:val="{FBE85BC6-A028-44EE-8B3D-9F8BA018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customStyle="1" w:styleId="a">
    <w:name w:val="_"/>
    <w:basedOn w:val="Normal"/>
    <w:pPr>
      <w:ind w:left="720" w:hanging="720"/>
    </w:pPr>
  </w:style>
  <w:style w:type="character" w:customStyle="1" w:styleId="grammar-highlight">
    <w:name w:val="grammar-highlight"/>
    <w:basedOn w:val="DefaultParagraphFont"/>
    <w:rsid w:val="002E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jpeg"/><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6849</Characters>
  <Application>Microsoft Office Word</Application>
  <DocSecurity>0</DocSecurity>
  <Lines>201</Lines>
  <Paragraphs>92</Paragraphs>
  <ScaleCrop>false</ScaleCrop>
  <HeadingPairs>
    <vt:vector size="2" baseType="variant">
      <vt:variant>
        <vt:lpstr>Title</vt:lpstr>
      </vt:variant>
      <vt:variant>
        <vt:i4>1</vt:i4>
      </vt:variant>
    </vt:vector>
  </HeadingPairs>
  <TitlesOfParts>
    <vt:vector size="1" baseType="lpstr">
      <vt:lpstr>Finance Notes by Dr</vt:lpstr>
    </vt:vector>
  </TitlesOfParts>
  <Company>Cal Poly Pomona</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Notes by Dr</dc:title>
  <dc:subject/>
  <dc:creator>C.B.A.</dc:creator>
  <cp:keywords/>
  <cp:lastModifiedBy>javad kashefi</cp:lastModifiedBy>
  <cp:revision>2</cp:revision>
  <cp:lastPrinted>2009-01-19T00:04:00Z</cp:lastPrinted>
  <dcterms:created xsi:type="dcterms:W3CDTF">2026-03-17T16:12:00Z</dcterms:created>
  <dcterms:modified xsi:type="dcterms:W3CDTF">2026-03-17T16:12:00Z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09670971-b7f8-4e70-aec9-15df6e6da335</vt:lpwstr>
  </property>
</Properties>
</file>