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0AB8" w14:textId="68F6F966" w:rsidR="00D41470" w:rsidRPr="000960AD" w:rsidRDefault="00D41470" w:rsidP="00B176EA">
      <w:pPr>
        <w:tabs>
          <w:tab w:val="center" w:pos="4680"/>
        </w:tabs>
        <w:jc w:val="both"/>
        <w:rPr>
          <w:rFonts w:ascii="Times New Roman" w:hAnsi="Times New Roman"/>
          <w:color w:val="202020"/>
          <w:sz w:val="24"/>
        </w:rPr>
      </w:pPr>
      <w:r>
        <w:rPr>
          <w:b/>
          <w:bCs/>
          <w:sz w:val="24"/>
        </w:rPr>
        <w:tab/>
      </w:r>
      <w:r w:rsidR="00B176EA" w:rsidRPr="000960AD">
        <w:rPr>
          <w:rFonts w:ascii="Times New Roman" w:hAnsi="Times New Roman"/>
          <w:color w:val="202020"/>
          <w:sz w:val="24"/>
        </w:rPr>
        <w:t xml:space="preserve">Plastic </w:t>
      </w:r>
      <w:bookmarkStart w:id="0" w:name="_Hlk93735614"/>
      <w:r w:rsidR="00B176EA" w:rsidRPr="000960AD">
        <w:rPr>
          <w:rFonts w:ascii="Times New Roman" w:hAnsi="Times New Roman"/>
          <w:color w:val="202020"/>
          <w:sz w:val="24"/>
        </w:rPr>
        <w:t>Mold</w:t>
      </w:r>
      <w:r w:rsidR="00130D2B">
        <w:rPr>
          <w:rFonts w:ascii="Times New Roman" w:hAnsi="Times New Roman"/>
          <w:color w:val="202020"/>
          <w:sz w:val="24"/>
        </w:rPr>
        <w:t>ing Company</w:t>
      </w:r>
      <w:bookmarkEnd w:id="0"/>
    </w:p>
    <w:p w14:paraId="2298ACA0" w14:textId="77777777" w:rsidR="00130D2B" w:rsidRDefault="00130D2B" w:rsidP="00B176EA">
      <w:pPr>
        <w:tabs>
          <w:tab w:val="center" w:pos="4680"/>
        </w:tabs>
        <w:jc w:val="both"/>
        <w:rPr>
          <w:rFonts w:ascii="Times New Roman" w:hAnsi="Times New Roman"/>
          <w:color w:val="202020"/>
          <w:sz w:val="24"/>
          <w:shd w:val="clear" w:color="auto" w:fill="FFFFFF"/>
        </w:rPr>
      </w:pPr>
    </w:p>
    <w:p w14:paraId="7C36759F" w14:textId="691F36EB" w:rsidR="002601E1" w:rsidRPr="000960AD" w:rsidRDefault="00F66911" w:rsidP="00B176EA">
      <w:pPr>
        <w:tabs>
          <w:tab w:val="center" w:pos="4680"/>
        </w:tabs>
        <w:jc w:val="both"/>
        <w:rPr>
          <w:rFonts w:ascii="Times New Roman" w:hAnsi="Times New Roman"/>
          <w:sz w:val="24"/>
        </w:rPr>
      </w:pPr>
      <w:r w:rsidRPr="000960AD">
        <w:rPr>
          <w:rFonts w:ascii="Times New Roman" w:hAnsi="Times New Roman"/>
          <w:color w:val="202020"/>
          <w:sz w:val="24"/>
          <w:shd w:val="clear" w:color="auto" w:fill="FFFFFF"/>
        </w:rPr>
        <w:t xml:space="preserve">Plastic </w:t>
      </w:r>
      <w:r w:rsidR="00130D2B" w:rsidRPr="000960AD">
        <w:rPr>
          <w:rFonts w:ascii="Times New Roman" w:hAnsi="Times New Roman"/>
          <w:color w:val="202020"/>
          <w:sz w:val="24"/>
        </w:rPr>
        <w:t>Mold</w:t>
      </w:r>
      <w:r w:rsidR="00130D2B">
        <w:rPr>
          <w:rFonts w:ascii="Times New Roman" w:hAnsi="Times New Roman"/>
          <w:color w:val="202020"/>
          <w:sz w:val="24"/>
        </w:rPr>
        <w:t>ing Company</w:t>
      </w:r>
      <w:r w:rsidR="00130D2B" w:rsidRPr="000960AD">
        <w:rPr>
          <w:rFonts w:ascii="Times New Roman" w:hAnsi="Times New Roman"/>
          <w:color w:val="202020"/>
          <w:sz w:val="24"/>
          <w:shd w:val="clear" w:color="auto" w:fill="FFFFFF"/>
        </w:rPr>
        <w:t xml:space="preserve"> </w:t>
      </w:r>
      <w:r w:rsidRPr="000960AD">
        <w:rPr>
          <w:rFonts w:ascii="Times New Roman" w:hAnsi="Times New Roman"/>
          <w:color w:val="202020"/>
          <w:sz w:val="24"/>
          <w:shd w:val="clear" w:color="auto" w:fill="FFFFFF"/>
        </w:rPr>
        <w:t xml:space="preserve">is </w:t>
      </w:r>
      <w:r w:rsidR="000D271A" w:rsidRPr="000960AD">
        <w:rPr>
          <w:rFonts w:ascii="Times New Roman" w:hAnsi="Times New Roman"/>
          <w:color w:val="202020"/>
          <w:sz w:val="24"/>
          <w:shd w:val="clear" w:color="auto" w:fill="FFFFFF"/>
        </w:rPr>
        <w:t>considering</w:t>
      </w:r>
      <w:r w:rsidRPr="000960AD">
        <w:rPr>
          <w:rFonts w:ascii="Times New Roman" w:hAnsi="Times New Roman"/>
          <w:color w:val="202020"/>
          <w:sz w:val="24"/>
          <w:shd w:val="clear" w:color="auto" w:fill="FFFFFF"/>
        </w:rPr>
        <w:t xml:space="preserve"> </w:t>
      </w:r>
      <w:r w:rsidR="00720E71">
        <w:rPr>
          <w:rFonts w:ascii="Times New Roman" w:hAnsi="Times New Roman"/>
          <w:color w:val="202020"/>
          <w:sz w:val="24"/>
          <w:shd w:val="clear" w:color="auto" w:fill="FFFFFF"/>
        </w:rPr>
        <w:t>adding two injection molding machines for its two divisions due to increased customer demand for plastic injection molding</w:t>
      </w:r>
      <w:r w:rsidR="000C52EE" w:rsidRPr="000960AD">
        <w:rPr>
          <w:rFonts w:ascii="Times New Roman" w:hAnsi="Times New Roman"/>
          <w:color w:val="202020"/>
          <w:sz w:val="24"/>
          <w:shd w:val="clear" w:color="auto" w:fill="FFFFFF"/>
        </w:rPr>
        <w:t>.</w:t>
      </w:r>
    </w:p>
    <w:p w14:paraId="3AE325A9" w14:textId="77777777" w:rsidR="000C52EE" w:rsidRPr="000960AD" w:rsidRDefault="000C52EE" w:rsidP="000C52EE">
      <w:pPr>
        <w:widowControl/>
        <w:shd w:val="clear" w:color="auto" w:fill="FFFFFF"/>
        <w:autoSpaceDE/>
        <w:autoSpaceDN/>
        <w:adjustRightInd/>
        <w:rPr>
          <w:rFonts w:ascii="Times New Roman" w:hAnsi="Times New Roman"/>
          <w:color w:val="202020"/>
          <w:sz w:val="24"/>
        </w:rPr>
      </w:pPr>
      <w:bookmarkStart w:id="1" w:name="_Hlk93589586"/>
    </w:p>
    <w:p w14:paraId="0A59176B" w14:textId="372887AE" w:rsidR="000C52EE" w:rsidRPr="00F16503" w:rsidRDefault="000C52EE" w:rsidP="000C52EE">
      <w:pPr>
        <w:widowControl/>
        <w:shd w:val="clear" w:color="auto" w:fill="FFFFFF"/>
        <w:autoSpaceDE/>
        <w:autoSpaceDN/>
        <w:adjustRightInd/>
        <w:rPr>
          <w:rFonts w:ascii="Times New Roman" w:hAnsi="Times New Roman"/>
          <w:color w:val="202020"/>
          <w:sz w:val="28"/>
          <w:szCs w:val="28"/>
        </w:rPr>
      </w:pPr>
      <w:r w:rsidRPr="00F16503">
        <w:rPr>
          <w:rFonts w:ascii="Times New Roman" w:hAnsi="Times New Roman"/>
          <w:color w:val="202020"/>
          <w:sz w:val="28"/>
          <w:szCs w:val="28"/>
        </w:rPr>
        <w:t>The Company</w:t>
      </w:r>
    </w:p>
    <w:p w14:paraId="2D1A6AB8" w14:textId="53B72B38" w:rsidR="00B176EA" w:rsidRPr="000960AD" w:rsidRDefault="00B176EA" w:rsidP="000C52EE">
      <w:pPr>
        <w:widowControl/>
        <w:shd w:val="clear" w:color="auto" w:fill="FFFFFF"/>
        <w:autoSpaceDE/>
        <w:autoSpaceDN/>
        <w:adjustRightInd/>
        <w:rPr>
          <w:rFonts w:ascii="Times New Roman" w:hAnsi="Times New Roman"/>
          <w:color w:val="202020"/>
          <w:sz w:val="24"/>
        </w:rPr>
      </w:pPr>
      <w:r w:rsidRPr="000960AD">
        <w:rPr>
          <w:rFonts w:ascii="Times New Roman" w:hAnsi="Times New Roman"/>
          <w:color w:val="202020"/>
          <w:sz w:val="24"/>
        </w:rPr>
        <w:t xml:space="preserve">Plastic </w:t>
      </w:r>
      <w:bookmarkEnd w:id="1"/>
      <w:r w:rsidR="00130D2B" w:rsidRPr="000960AD">
        <w:rPr>
          <w:rFonts w:ascii="Times New Roman" w:hAnsi="Times New Roman"/>
          <w:color w:val="202020"/>
          <w:sz w:val="24"/>
        </w:rPr>
        <w:t>Mold</w:t>
      </w:r>
      <w:r w:rsidR="00130D2B">
        <w:rPr>
          <w:rFonts w:ascii="Times New Roman" w:hAnsi="Times New Roman"/>
          <w:color w:val="202020"/>
          <w:sz w:val="24"/>
        </w:rPr>
        <w:t>ing Company</w:t>
      </w:r>
      <w:r w:rsidR="00130D2B" w:rsidRPr="000960AD">
        <w:rPr>
          <w:rFonts w:ascii="Times New Roman" w:hAnsi="Times New Roman"/>
          <w:color w:val="202020"/>
          <w:sz w:val="24"/>
        </w:rPr>
        <w:t xml:space="preserve"> </w:t>
      </w:r>
      <w:r w:rsidRPr="000960AD">
        <w:rPr>
          <w:rFonts w:ascii="Times New Roman" w:hAnsi="Times New Roman"/>
          <w:color w:val="202020"/>
          <w:sz w:val="24"/>
        </w:rPr>
        <w:t xml:space="preserve">(PMC) is one of </w:t>
      </w:r>
      <w:r w:rsidR="00DD611F">
        <w:rPr>
          <w:rFonts w:ascii="Times New Roman" w:hAnsi="Times New Roman"/>
          <w:color w:val="202020"/>
          <w:sz w:val="24"/>
        </w:rPr>
        <w:t>the</w:t>
      </w:r>
      <w:r w:rsidRPr="000960AD">
        <w:rPr>
          <w:rFonts w:ascii="Times New Roman" w:hAnsi="Times New Roman"/>
          <w:color w:val="202020"/>
          <w:sz w:val="24"/>
        </w:rPr>
        <w:t xml:space="preserve"> few plastic injection molding companies in </w:t>
      </w:r>
      <w:r w:rsidR="00720E71">
        <w:rPr>
          <w:rFonts w:ascii="Times New Roman" w:hAnsi="Times New Roman"/>
          <w:color w:val="202020"/>
          <w:sz w:val="24"/>
        </w:rPr>
        <w:t xml:space="preserve">the world that uniquely specializes in molding with engineered resins. It can also offer a wide </w:t>
      </w:r>
      <w:r w:rsidRPr="000960AD">
        <w:rPr>
          <w:rFonts w:ascii="Times New Roman" w:hAnsi="Times New Roman"/>
          <w:color w:val="202020"/>
          <w:sz w:val="24"/>
        </w:rPr>
        <w:t xml:space="preserve">range of scientific plastics processing services to meet </w:t>
      </w:r>
      <w:r w:rsidR="00720E71">
        <w:rPr>
          <w:rFonts w:ascii="Times New Roman" w:hAnsi="Times New Roman"/>
          <w:color w:val="202020"/>
          <w:sz w:val="24"/>
        </w:rPr>
        <w:t>diverse</w:t>
      </w:r>
      <w:r w:rsidRPr="000960AD">
        <w:rPr>
          <w:rFonts w:ascii="Times New Roman" w:hAnsi="Times New Roman"/>
          <w:color w:val="202020"/>
          <w:sz w:val="24"/>
        </w:rPr>
        <w:t xml:space="preserve"> needs.</w:t>
      </w:r>
      <w:r w:rsidR="00E06B71">
        <w:rPr>
          <w:rFonts w:ascii="Times New Roman" w:hAnsi="Times New Roman"/>
          <w:color w:val="202020"/>
          <w:sz w:val="24"/>
        </w:rPr>
        <w:t xml:space="preserve"> The company has two divisions:</w:t>
      </w:r>
    </w:p>
    <w:p w14:paraId="065FACF6" w14:textId="68A2CF0D" w:rsidR="00B84F2C" w:rsidRPr="00BB2B3D" w:rsidRDefault="00B84F2C" w:rsidP="00790BCE">
      <w:pPr>
        <w:pStyle w:val="ListParagraph"/>
        <w:widowControl/>
        <w:numPr>
          <w:ilvl w:val="0"/>
          <w:numId w:val="8"/>
        </w:numPr>
        <w:shd w:val="clear" w:color="auto" w:fill="FFFFFF"/>
        <w:autoSpaceDE/>
        <w:autoSpaceDN/>
        <w:adjustRightInd/>
        <w:spacing w:line="525" w:lineRule="atLeast"/>
        <w:outlineLvl w:val="0"/>
        <w:rPr>
          <w:rFonts w:ascii="Times New Roman" w:hAnsi="Times New Roman"/>
          <w:kern w:val="36"/>
          <w:sz w:val="24"/>
        </w:rPr>
      </w:pPr>
      <w:r w:rsidRPr="00BB2B3D">
        <w:rPr>
          <w:rFonts w:ascii="Times New Roman" w:hAnsi="Times New Roman"/>
          <w:kern w:val="36"/>
          <w:sz w:val="24"/>
        </w:rPr>
        <w:t>Aerospace Plastic Injection Molding</w:t>
      </w:r>
      <w:r w:rsidR="00214674" w:rsidRPr="00BB2B3D">
        <w:rPr>
          <w:rFonts w:ascii="Times New Roman" w:hAnsi="Times New Roman"/>
          <w:kern w:val="36"/>
          <w:sz w:val="24"/>
        </w:rPr>
        <w:t xml:space="preserve"> Division</w:t>
      </w:r>
    </w:p>
    <w:p w14:paraId="1F7B15FD" w14:textId="5A69037C" w:rsidR="00B84F2C" w:rsidRPr="000960AD" w:rsidRDefault="004A3D8D" w:rsidP="00B84F2C">
      <w:pPr>
        <w:widowControl/>
        <w:shd w:val="clear" w:color="auto" w:fill="FFFFFF"/>
        <w:autoSpaceDE/>
        <w:autoSpaceDN/>
        <w:adjustRightInd/>
        <w:spacing w:after="300" w:line="300" w:lineRule="atLeast"/>
        <w:outlineLvl w:val="1"/>
        <w:rPr>
          <w:rFonts w:ascii="Times New Roman" w:hAnsi="Times New Roman"/>
          <w:color w:val="333333"/>
          <w:sz w:val="24"/>
        </w:rPr>
      </w:pPr>
      <w:r w:rsidRPr="000960AD">
        <w:rPr>
          <w:rFonts w:ascii="Times New Roman" w:hAnsi="Times New Roman"/>
          <w:color w:val="333333"/>
          <w:sz w:val="24"/>
        </w:rPr>
        <w:t>This division provides p</w:t>
      </w:r>
      <w:r w:rsidR="00B84F2C" w:rsidRPr="000960AD">
        <w:rPr>
          <w:rFonts w:ascii="Times New Roman" w:hAnsi="Times New Roman"/>
          <w:color w:val="333333"/>
          <w:sz w:val="24"/>
        </w:rPr>
        <w:t xml:space="preserve">lastic </w:t>
      </w:r>
      <w:r w:rsidRPr="000960AD">
        <w:rPr>
          <w:rFonts w:ascii="Times New Roman" w:hAnsi="Times New Roman"/>
          <w:color w:val="333333"/>
          <w:sz w:val="24"/>
        </w:rPr>
        <w:t>i</w:t>
      </w:r>
      <w:r w:rsidR="00B84F2C" w:rsidRPr="000960AD">
        <w:rPr>
          <w:rFonts w:ascii="Times New Roman" w:hAnsi="Times New Roman"/>
          <w:color w:val="333333"/>
          <w:sz w:val="24"/>
        </w:rPr>
        <w:t xml:space="preserve">njection </w:t>
      </w:r>
      <w:r w:rsidRPr="000960AD">
        <w:rPr>
          <w:rFonts w:ascii="Times New Roman" w:hAnsi="Times New Roman"/>
          <w:color w:val="333333"/>
          <w:sz w:val="24"/>
        </w:rPr>
        <w:t>m</w:t>
      </w:r>
      <w:r w:rsidR="00B84F2C" w:rsidRPr="000960AD">
        <w:rPr>
          <w:rFonts w:ascii="Times New Roman" w:hAnsi="Times New Roman"/>
          <w:color w:val="333333"/>
          <w:sz w:val="24"/>
        </w:rPr>
        <w:t>olding for Aerospace, Military</w:t>
      </w:r>
      <w:r w:rsidR="00720E71">
        <w:rPr>
          <w:rFonts w:ascii="Times New Roman" w:hAnsi="Times New Roman"/>
          <w:color w:val="333333"/>
          <w:sz w:val="24"/>
        </w:rPr>
        <w:t>,</w:t>
      </w:r>
      <w:r w:rsidR="00B84F2C" w:rsidRPr="000960AD">
        <w:rPr>
          <w:rFonts w:ascii="Times New Roman" w:hAnsi="Times New Roman"/>
          <w:color w:val="333333"/>
          <w:sz w:val="24"/>
        </w:rPr>
        <w:t xml:space="preserve"> and Defense Industries</w:t>
      </w:r>
      <w:r w:rsidRPr="000960AD">
        <w:rPr>
          <w:rFonts w:ascii="Times New Roman" w:hAnsi="Times New Roman"/>
          <w:color w:val="333333"/>
          <w:sz w:val="24"/>
        </w:rPr>
        <w:t>.</w:t>
      </w:r>
    </w:p>
    <w:p w14:paraId="02DE9F8E" w14:textId="1C93ECBD" w:rsidR="00B84F2C" w:rsidRPr="000960AD" w:rsidRDefault="00B84F2C" w:rsidP="00214FBE">
      <w:pPr>
        <w:rPr>
          <w:rFonts w:ascii="Times New Roman" w:hAnsi="Times New Roman"/>
          <w:color w:val="202020"/>
          <w:sz w:val="24"/>
          <w:shd w:val="clear" w:color="auto" w:fill="FFFFFF"/>
        </w:rPr>
      </w:pPr>
      <w:r w:rsidRPr="000960AD">
        <w:rPr>
          <w:rFonts w:ascii="Times New Roman" w:hAnsi="Times New Roman"/>
          <w:color w:val="202020"/>
          <w:sz w:val="24"/>
          <w:shd w:val="clear" w:color="auto" w:fill="FFFFFF"/>
        </w:rPr>
        <w:t>Plastic injection molding for aerospace and military/defense applications involves engineered resins and complex mold cavities. Careful control of the molding process, including gate design, temperature, and pressure, is necessary to produce the highest quality parts.  These parts also require multiple post-molding services</w:t>
      </w:r>
      <w:r w:rsidR="00720E71">
        <w:rPr>
          <w:rFonts w:ascii="Times New Roman" w:hAnsi="Times New Roman"/>
          <w:color w:val="202020"/>
          <w:sz w:val="24"/>
          <w:shd w:val="clear" w:color="auto" w:fill="FFFFFF"/>
        </w:rPr>
        <w:t>, such as</w:t>
      </w:r>
      <w:r w:rsidRPr="000960AD">
        <w:rPr>
          <w:rFonts w:ascii="Times New Roman" w:hAnsi="Times New Roman"/>
          <w:color w:val="202020"/>
          <w:sz w:val="24"/>
          <w:shd w:val="clear" w:color="auto" w:fill="FFFFFF"/>
        </w:rPr>
        <w:t xml:space="preserve"> drilling, machining, plating, and fabrication. PMC offers these services </w:t>
      </w:r>
      <w:r w:rsidR="00720E71">
        <w:rPr>
          <w:rFonts w:ascii="Times New Roman" w:hAnsi="Times New Roman"/>
          <w:color w:val="202020"/>
          <w:sz w:val="24"/>
          <w:shd w:val="clear" w:color="auto" w:fill="FFFFFF"/>
        </w:rPr>
        <w:t>in a single</w:t>
      </w:r>
      <w:r w:rsidRPr="000960AD">
        <w:rPr>
          <w:rFonts w:ascii="Times New Roman" w:hAnsi="Times New Roman"/>
          <w:color w:val="202020"/>
          <w:sz w:val="24"/>
          <w:shd w:val="clear" w:color="auto" w:fill="FFFFFF"/>
        </w:rPr>
        <w:t xml:space="preserve"> </w:t>
      </w:r>
      <w:r w:rsidR="00720E71" w:rsidRPr="000960AD">
        <w:rPr>
          <w:rFonts w:ascii="Times New Roman" w:hAnsi="Times New Roman"/>
          <w:color w:val="202020"/>
          <w:sz w:val="24"/>
          <w:shd w:val="clear" w:color="auto" w:fill="FFFFFF"/>
        </w:rPr>
        <w:t>way</w:t>
      </w:r>
      <w:r w:rsidRPr="000960AD">
        <w:rPr>
          <w:rFonts w:ascii="Times New Roman" w:hAnsi="Times New Roman"/>
          <w:color w:val="202020"/>
          <w:sz w:val="24"/>
          <w:shd w:val="clear" w:color="auto" w:fill="FFFFFF"/>
        </w:rPr>
        <w:t xml:space="preserve"> to help reduce costs.</w:t>
      </w:r>
    </w:p>
    <w:p w14:paraId="3026456D" w14:textId="77777777" w:rsidR="00F16503" w:rsidRDefault="00B84F2C" w:rsidP="00F16503">
      <w:pPr>
        <w:pStyle w:val="ListParagraph"/>
        <w:widowControl/>
        <w:numPr>
          <w:ilvl w:val="0"/>
          <w:numId w:val="8"/>
        </w:numPr>
        <w:shd w:val="clear" w:color="auto" w:fill="FFFFFF"/>
        <w:autoSpaceDE/>
        <w:autoSpaceDN/>
        <w:adjustRightInd/>
        <w:spacing w:line="525" w:lineRule="atLeast"/>
        <w:outlineLvl w:val="0"/>
        <w:rPr>
          <w:rFonts w:ascii="Times New Roman" w:hAnsi="Times New Roman"/>
          <w:kern w:val="36"/>
          <w:sz w:val="24"/>
        </w:rPr>
      </w:pPr>
      <w:r w:rsidRPr="00BB2B3D">
        <w:rPr>
          <w:rFonts w:ascii="Times New Roman" w:hAnsi="Times New Roman"/>
          <w:kern w:val="36"/>
          <w:sz w:val="24"/>
        </w:rPr>
        <w:t>Electronic Injection Molding</w:t>
      </w:r>
      <w:r w:rsidR="00214FBE" w:rsidRPr="00BB2B3D">
        <w:rPr>
          <w:rFonts w:ascii="Times New Roman" w:hAnsi="Times New Roman"/>
          <w:kern w:val="36"/>
          <w:sz w:val="24"/>
        </w:rPr>
        <w:t xml:space="preserve"> Division</w:t>
      </w:r>
    </w:p>
    <w:p w14:paraId="49FA2ACF" w14:textId="213CAF85" w:rsidR="00B84F2C" w:rsidRPr="00F16503" w:rsidRDefault="002601E1" w:rsidP="00F16503">
      <w:pPr>
        <w:widowControl/>
        <w:shd w:val="clear" w:color="auto" w:fill="FFFFFF"/>
        <w:autoSpaceDE/>
        <w:autoSpaceDN/>
        <w:adjustRightInd/>
        <w:spacing w:line="525" w:lineRule="atLeast"/>
        <w:outlineLvl w:val="0"/>
        <w:rPr>
          <w:rFonts w:ascii="Times New Roman" w:hAnsi="Times New Roman"/>
          <w:kern w:val="36"/>
          <w:sz w:val="24"/>
        </w:rPr>
      </w:pPr>
      <w:r w:rsidRPr="00F16503">
        <w:rPr>
          <w:rFonts w:ascii="Times New Roman" w:hAnsi="Times New Roman"/>
          <w:color w:val="333333"/>
          <w:sz w:val="24"/>
        </w:rPr>
        <w:t>This division provides e</w:t>
      </w:r>
      <w:r w:rsidR="00B84F2C" w:rsidRPr="00F16503">
        <w:rPr>
          <w:rFonts w:ascii="Times New Roman" w:hAnsi="Times New Roman"/>
          <w:color w:val="333333"/>
          <w:sz w:val="24"/>
        </w:rPr>
        <w:t xml:space="preserve">ngineered </w:t>
      </w:r>
      <w:r w:rsidRPr="00F16503">
        <w:rPr>
          <w:rFonts w:ascii="Times New Roman" w:hAnsi="Times New Roman"/>
          <w:color w:val="333333"/>
          <w:sz w:val="24"/>
        </w:rPr>
        <w:t>p</w:t>
      </w:r>
      <w:r w:rsidR="00B84F2C" w:rsidRPr="00F16503">
        <w:rPr>
          <w:rFonts w:ascii="Times New Roman" w:hAnsi="Times New Roman"/>
          <w:color w:val="333333"/>
          <w:sz w:val="24"/>
        </w:rPr>
        <w:t xml:space="preserve">lastic </w:t>
      </w:r>
      <w:r w:rsidRPr="00F16503">
        <w:rPr>
          <w:rFonts w:ascii="Times New Roman" w:hAnsi="Times New Roman"/>
          <w:color w:val="333333"/>
          <w:sz w:val="24"/>
        </w:rPr>
        <w:t>m</w:t>
      </w:r>
      <w:r w:rsidR="00B84F2C" w:rsidRPr="00F16503">
        <w:rPr>
          <w:rFonts w:ascii="Times New Roman" w:hAnsi="Times New Roman"/>
          <w:color w:val="333333"/>
          <w:sz w:val="24"/>
        </w:rPr>
        <w:t>olding for Electronic Components Manufacturers</w:t>
      </w:r>
    </w:p>
    <w:p w14:paraId="1D4931AD" w14:textId="7D58945C" w:rsidR="00B84F2C" w:rsidRDefault="00B84F2C" w:rsidP="00F16503">
      <w:pPr>
        <w:widowControl/>
        <w:shd w:val="clear" w:color="auto" w:fill="FFFFFF"/>
        <w:autoSpaceDE/>
        <w:autoSpaceDN/>
        <w:adjustRightInd/>
        <w:spacing w:after="300"/>
        <w:rPr>
          <w:rFonts w:ascii="Times New Roman" w:hAnsi="Times New Roman"/>
          <w:color w:val="202020"/>
          <w:sz w:val="24"/>
        </w:rPr>
      </w:pPr>
      <w:r w:rsidRPr="000960AD">
        <w:rPr>
          <w:rFonts w:ascii="Times New Roman" w:hAnsi="Times New Roman"/>
          <w:color w:val="202020"/>
          <w:sz w:val="24"/>
        </w:rPr>
        <w:t xml:space="preserve">PMC provides plastic molding for electronic components for a variety of applications, </w:t>
      </w:r>
      <w:r w:rsidR="00720E71">
        <w:rPr>
          <w:rFonts w:ascii="Times New Roman" w:hAnsi="Times New Roman"/>
          <w:color w:val="202020"/>
          <w:sz w:val="24"/>
        </w:rPr>
        <w:t>including structural components, such as</w:t>
      </w:r>
      <w:r w:rsidRPr="000960AD">
        <w:rPr>
          <w:rFonts w:ascii="Times New Roman" w:hAnsi="Times New Roman"/>
          <w:color w:val="202020"/>
          <w:sz w:val="24"/>
        </w:rPr>
        <w:t xml:space="preserve"> boards and switch components, as well as enclosures and supports for finished systems.</w:t>
      </w:r>
    </w:p>
    <w:p w14:paraId="27F27142" w14:textId="7CF5C229" w:rsidR="00BB2B3D" w:rsidRPr="00BB2B3D" w:rsidRDefault="00BB2B3D" w:rsidP="00511CAD">
      <w:pPr>
        <w:widowControl/>
        <w:shd w:val="clear" w:color="auto" w:fill="FFFFFF"/>
        <w:autoSpaceDE/>
        <w:autoSpaceDN/>
        <w:adjustRightInd/>
        <w:spacing w:after="120"/>
        <w:rPr>
          <w:rFonts w:ascii="Times New Roman" w:hAnsi="Times New Roman"/>
          <w:b/>
          <w:bCs/>
          <w:sz w:val="24"/>
        </w:rPr>
      </w:pPr>
      <w:r w:rsidRPr="00BB2B3D">
        <w:rPr>
          <w:rFonts w:ascii="Times New Roman" w:hAnsi="Times New Roman"/>
          <w:b/>
          <w:bCs/>
          <w:sz w:val="24"/>
        </w:rPr>
        <w:t xml:space="preserve">Two </w:t>
      </w:r>
      <w:r w:rsidR="00720E71">
        <w:rPr>
          <w:rFonts w:ascii="Times New Roman" w:hAnsi="Times New Roman"/>
          <w:b/>
          <w:bCs/>
          <w:sz w:val="24"/>
        </w:rPr>
        <w:t>Investments</w:t>
      </w:r>
      <w:r w:rsidRPr="00BB2B3D">
        <w:rPr>
          <w:rFonts w:ascii="Times New Roman" w:hAnsi="Times New Roman"/>
          <w:b/>
          <w:bCs/>
          <w:sz w:val="24"/>
        </w:rPr>
        <w:t xml:space="preserve"> in </w:t>
      </w:r>
      <w:r w:rsidR="00AF1A1A">
        <w:rPr>
          <w:rFonts w:ascii="Times New Roman" w:hAnsi="Times New Roman"/>
          <w:b/>
          <w:bCs/>
          <w:sz w:val="24"/>
        </w:rPr>
        <w:t xml:space="preserve">the </w:t>
      </w:r>
      <w:r w:rsidRPr="00BB2B3D">
        <w:rPr>
          <w:rFonts w:ascii="Times New Roman" w:hAnsi="Times New Roman"/>
          <w:b/>
          <w:bCs/>
          <w:sz w:val="24"/>
        </w:rPr>
        <w:t>Divisions:</w:t>
      </w:r>
    </w:p>
    <w:p w14:paraId="3801A1E7" w14:textId="0C2708D5" w:rsidR="00266D75" w:rsidRDefault="009C57D5" w:rsidP="00511CAD">
      <w:pPr>
        <w:widowControl/>
        <w:shd w:val="clear" w:color="auto" w:fill="FFFFFF"/>
        <w:autoSpaceDE/>
        <w:autoSpaceDN/>
        <w:adjustRightInd/>
        <w:spacing w:after="120"/>
        <w:rPr>
          <w:rFonts w:ascii="Times New Roman" w:hAnsi="Times New Roman"/>
          <w:color w:val="202020"/>
          <w:sz w:val="24"/>
        </w:rPr>
      </w:pPr>
      <w:r w:rsidRPr="000960AD">
        <w:rPr>
          <w:rFonts w:ascii="Times New Roman" w:hAnsi="Times New Roman"/>
          <w:sz w:val="24"/>
        </w:rPr>
        <w:t xml:space="preserve">The Company is considering installing two plastic injection </w:t>
      </w:r>
      <w:r w:rsidR="002D3D97" w:rsidRPr="000960AD">
        <w:rPr>
          <w:rFonts w:ascii="Times New Roman" w:hAnsi="Times New Roman"/>
          <w:sz w:val="24"/>
        </w:rPr>
        <w:t>molding</w:t>
      </w:r>
      <w:r w:rsidRPr="000960AD">
        <w:rPr>
          <w:rFonts w:ascii="Times New Roman" w:hAnsi="Times New Roman"/>
          <w:sz w:val="24"/>
        </w:rPr>
        <w:t xml:space="preserve"> </w:t>
      </w:r>
      <w:r w:rsidR="00720E71">
        <w:rPr>
          <w:rFonts w:ascii="Times New Roman" w:hAnsi="Times New Roman"/>
          <w:sz w:val="24"/>
        </w:rPr>
        <w:t xml:space="preserve">machines, and you have been hired recently as an </w:t>
      </w:r>
      <w:r w:rsidR="00266D75">
        <w:rPr>
          <w:rFonts w:ascii="Times New Roman" w:hAnsi="Times New Roman"/>
          <w:color w:val="202020"/>
          <w:sz w:val="24"/>
        </w:rPr>
        <w:t>a</w:t>
      </w:r>
      <w:r w:rsidR="00CE68F3">
        <w:rPr>
          <w:rFonts w:ascii="Times New Roman" w:hAnsi="Times New Roman"/>
          <w:color w:val="202020"/>
          <w:sz w:val="24"/>
        </w:rPr>
        <w:t>ssistant</w:t>
      </w:r>
      <w:r w:rsidR="00266D75">
        <w:rPr>
          <w:rFonts w:ascii="Times New Roman" w:hAnsi="Times New Roman"/>
          <w:color w:val="202020"/>
          <w:sz w:val="24"/>
        </w:rPr>
        <w:t xml:space="preserve"> financial </w:t>
      </w:r>
      <w:r w:rsidR="006F41B0">
        <w:rPr>
          <w:rFonts w:ascii="Times New Roman" w:hAnsi="Times New Roman"/>
          <w:color w:val="202020"/>
          <w:sz w:val="24"/>
        </w:rPr>
        <w:t>analyst</w:t>
      </w:r>
      <w:r w:rsidR="00266D75">
        <w:rPr>
          <w:rFonts w:ascii="Times New Roman" w:hAnsi="Times New Roman"/>
          <w:color w:val="202020"/>
          <w:sz w:val="24"/>
        </w:rPr>
        <w:t xml:space="preserve"> </w:t>
      </w:r>
      <w:r w:rsidR="00CE68F3">
        <w:rPr>
          <w:rFonts w:ascii="Times New Roman" w:hAnsi="Times New Roman"/>
          <w:color w:val="202020"/>
          <w:sz w:val="24"/>
        </w:rPr>
        <w:t>at Plastic Molding Company to evaluate these two new investments. This is your first assignment</w:t>
      </w:r>
      <w:r w:rsidR="00720E71">
        <w:rPr>
          <w:rFonts w:ascii="Times New Roman" w:hAnsi="Times New Roman"/>
          <w:color w:val="202020"/>
          <w:sz w:val="24"/>
        </w:rPr>
        <w:t>, and you have been asked not only to provide a recommendation but also to respond to several questions to assess</w:t>
      </w:r>
      <w:r w:rsidR="00CE68F3">
        <w:rPr>
          <w:rFonts w:ascii="Times New Roman" w:hAnsi="Times New Roman"/>
          <w:color w:val="202020"/>
          <w:sz w:val="24"/>
        </w:rPr>
        <w:t xml:space="preserve"> your understanding of the capital budgeting process.</w:t>
      </w:r>
      <w:r w:rsidR="00511CAD" w:rsidRPr="00511CAD">
        <w:rPr>
          <w:rFonts w:ascii="Times New Roman" w:hAnsi="Times New Roman"/>
          <w:sz w:val="24"/>
        </w:rPr>
        <w:t xml:space="preserve"> </w:t>
      </w:r>
      <w:r w:rsidR="00511CAD" w:rsidRPr="000960AD">
        <w:rPr>
          <w:rFonts w:ascii="Times New Roman" w:hAnsi="Times New Roman"/>
          <w:sz w:val="24"/>
        </w:rPr>
        <w:t xml:space="preserve">The </w:t>
      </w:r>
      <w:r w:rsidR="00511CAD">
        <w:rPr>
          <w:rFonts w:ascii="Times New Roman" w:hAnsi="Times New Roman"/>
          <w:sz w:val="24"/>
        </w:rPr>
        <w:t xml:space="preserve">plastic injection </w:t>
      </w:r>
      <w:r w:rsidR="00511CAD" w:rsidRPr="000960AD">
        <w:rPr>
          <w:rFonts w:ascii="Times New Roman" w:hAnsi="Times New Roman"/>
          <w:sz w:val="24"/>
        </w:rPr>
        <w:t xml:space="preserve">equipment </w:t>
      </w:r>
      <w:r w:rsidR="00511CAD">
        <w:rPr>
          <w:rFonts w:ascii="Times New Roman" w:hAnsi="Times New Roman"/>
          <w:sz w:val="24"/>
        </w:rPr>
        <w:t xml:space="preserve">and </w:t>
      </w:r>
      <w:r w:rsidR="00E32465">
        <w:rPr>
          <w:rFonts w:ascii="Times New Roman" w:hAnsi="Times New Roman"/>
          <w:sz w:val="24"/>
        </w:rPr>
        <w:t>their</w:t>
      </w:r>
      <w:r w:rsidR="00511CAD">
        <w:rPr>
          <w:rFonts w:ascii="Times New Roman" w:hAnsi="Times New Roman"/>
          <w:sz w:val="24"/>
        </w:rPr>
        <w:t xml:space="preserve"> </w:t>
      </w:r>
      <w:r w:rsidR="00511CAD" w:rsidRPr="000960AD">
        <w:rPr>
          <w:rFonts w:ascii="Times New Roman" w:hAnsi="Times New Roman"/>
          <w:sz w:val="24"/>
        </w:rPr>
        <w:t>different characteristics and descriptions</w:t>
      </w:r>
      <w:r w:rsidR="00511CAD">
        <w:rPr>
          <w:rFonts w:ascii="Times New Roman" w:hAnsi="Times New Roman"/>
          <w:sz w:val="24"/>
        </w:rPr>
        <w:t xml:space="preserve"> are shown in </w:t>
      </w:r>
      <w:r w:rsidR="00720E71">
        <w:rPr>
          <w:rFonts w:ascii="Times New Roman" w:hAnsi="Times New Roman"/>
          <w:sz w:val="24"/>
        </w:rPr>
        <w:t>Table 1</w:t>
      </w:r>
      <w:r w:rsidR="00511CAD">
        <w:rPr>
          <w:rFonts w:ascii="Times New Roman" w:hAnsi="Times New Roman"/>
          <w:sz w:val="24"/>
        </w:rPr>
        <w:t>.</w:t>
      </w:r>
    </w:p>
    <w:p w14:paraId="6E9C919E" w14:textId="142356A3" w:rsidR="0035502F" w:rsidRDefault="00720E71" w:rsidP="00511CAD">
      <w:pPr>
        <w:widowControl/>
        <w:shd w:val="clear" w:color="auto" w:fill="FFFFFF"/>
        <w:autoSpaceDE/>
        <w:autoSpaceDN/>
        <w:adjustRightInd/>
        <w:rPr>
          <w:rFonts w:ascii="Times New Roman" w:hAnsi="Times New Roman"/>
          <w:color w:val="202020"/>
          <w:sz w:val="24"/>
        </w:rPr>
      </w:pPr>
      <w:r>
        <w:rPr>
          <w:rFonts w:ascii="Times New Roman" w:hAnsi="Times New Roman"/>
          <w:color w:val="202020"/>
          <w:sz w:val="24"/>
        </w:rPr>
        <w:t>The questions</w:t>
      </w:r>
      <w:r w:rsidR="009F2EAA">
        <w:rPr>
          <w:rFonts w:ascii="Times New Roman" w:hAnsi="Times New Roman"/>
          <w:color w:val="202020"/>
          <w:sz w:val="24"/>
        </w:rPr>
        <w:t xml:space="preserve"> that you are asked </w:t>
      </w:r>
      <w:r>
        <w:rPr>
          <w:rFonts w:ascii="Times New Roman" w:hAnsi="Times New Roman"/>
          <w:color w:val="202020"/>
          <w:sz w:val="24"/>
        </w:rPr>
        <w:t xml:space="preserve">are </w:t>
      </w:r>
      <w:r w:rsidR="004E2A95">
        <w:rPr>
          <w:rFonts w:ascii="Times New Roman" w:hAnsi="Times New Roman"/>
          <w:color w:val="202020"/>
          <w:sz w:val="24"/>
        </w:rPr>
        <w:t xml:space="preserve">as </w:t>
      </w:r>
      <w:r w:rsidR="009F2EAA">
        <w:rPr>
          <w:rFonts w:ascii="Times New Roman" w:hAnsi="Times New Roman"/>
          <w:color w:val="202020"/>
          <w:sz w:val="24"/>
        </w:rPr>
        <w:t>follows:</w:t>
      </w:r>
    </w:p>
    <w:p w14:paraId="4CA8F413" w14:textId="44C0F0DD" w:rsidR="001F1750" w:rsidRPr="001F1750" w:rsidRDefault="001F1750" w:rsidP="00214FBE">
      <w:pPr>
        <w:widowControl/>
        <w:shd w:val="clear" w:color="auto" w:fill="FFFFFF"/>
        <w:autoSpaceDE/>
        <w:autoSpaceDN/>
        <w:adjustRightInd/>
        <w:spacing w:after="300"/>
        <w:rPr>
          <w:rFonts w:ascii="Times New Roman" w:hAnsi="Times New Roman"/>
          <w:b/>
          <w:bCs/>
          <w:color w:val="202020"/>
          <w:sz w:val="24"/>
        </w:rPr>
      </w:pPr>
      <w:r w:rsidRPr="001F1750">
        <w:rPr>
          <w:rFonts w:ascii="Times New Roman" w:hAnsi="Times New Roman"/>
          <w:b/>
          <w:bCs/>
          <w:color w:val="202020"/>
          <w:sz w:val="24"/>
        </w:rPr>
        <w:t>Part -I</w:t>
      </w:r>
    </w:p>
    <w:p w14:paraId="5CF6F412" w14:textId="10ABF2EA" w:rsidR="009F2EAA" w:rsidRDefault="009F2EAA" w:rsidP="009F2EAA">
      <w:pPr>
        <w:pStyle w:val="ListParagraph"/>
        <w:widowControl/>
        <w:numPr>
          <w:ilvl w:val="0"/>
          <w:numId w:val="9"/>
        </w:numPr>
        <w:shd w:val="clear" w:color="auto" w:fill="FFFFFF"/>
        <w:autoSpaceDE/>
        <w:autoSpaceDN/>
        <w:adjustRightInd/>
        <w:spacing w:after="300"/>
        <w:rPr>
          <w:rFonts w:ascii="Times New Roman" w:hAnsi="Times New Roman"/>
          <w:color w:val="202020"/>
          <w:sz w:val="24"/>
        </w:rPr>
      </w:pPr>
      <w:r>
        <w:rPr>
          <w:rFonts w:ascii="Times New Roman" w:hAnsi="Times New Roman"/>
          <w:color w:val="202020"/>
          <w:sz w:val="24"/>
        </w:rPr>
        <w:t xml:space="preserve">Why </w:t>
      </w:r>
      <w:r w:rsidR="00720E71">
        <w:rPr>
          <w:rFonts w:ascii="Times New Roman" w:hAnsi="Times New Roman"/>
          <w:color w:val="202020"/>
          <w:sz w:val="24"/>
        </w:rPr>
        <w:t xml:space="preserve">is the capital budgeting process </w:t>
      </w:r>
      <w:r>
        <w:rPr>
          <w:rFonts w:ascii="Times New Roman" w:hAnsi="Times New Roman"/>
          <w:color w:val="202020"/>
          <w:sz w:val="24"/>
        </w:rPr>
        <w:t>so important?</w:t>
      </w:r>
    </w:p>
    <w:p w14:paraId="4F741B51" w14:textId="72E6045E" w:rsidR="009F2EAA" w:rsidRDefault="009F2EAA" w:rsidP="009F2EAA">
      <w:pPr>
        <w:pStyle w:val="ListParagraph"/>
        <w:widowControl/>
        <w:numPr>
          <w:ilvl w:val="0"/>
          <w:numId w:val="9"/>
        </w:numPr>
        <w:shd w:val="clear" w:color="auto" w:fill="FFFFFF"/>
        <w:autoSpaceDE/>
        <w:autoSpaceDN/>
        <w:adjustRightInd/>
        <w:spacing w:after="300"/>
        <w:rPr>
          <w:rFonts w:ascii="Times New Roman" w:hAnsi="Times New Roman"/>
          <w:color w:val="202020"/>
          <w:sz w:val="24"/>
        </w:rPr>
      </w:pPr>
      <w:r>
        <w:rPr>
          <w:rFonts w:ascii="Times New Roman" w:hAnsi="Times New Roman"/>
          <w:color w:val="202020"/>
          <w:sz w:val="24"/>
        </w:rPr>
        <w:t>Why is it so difficult to</w:t>
      </w:r>
      <w:r w:rsidR="00761737">
        <w:rPr>
          <w:rFonts w:ascii="Times New Roman" w:hAnsi="Times New Roman"/>
          <w:color w:val="202020"/>
          <w:sz w:val="24"/>
        </w:rPr>
        <w:t xml:space="preserve"> find</w:t>
      </w:r>
      <w:r>
        <w:rPr>
          <w:rFonts w:ascii="Times New Roman" w:hAnsi="Times New Roman"/>
          <w:color w:val="202020"/>
          <w:sz w:val="24"/>
        </w:rPr>
        <w:t xml:space="preserve"> exceptionally profitable projects?</w:t>
      </w:r>
    </w:p>
    <w:p w14:paraId="3ECFE9A9" w14:textId="6DA74D6E" w:rsidR="009F2EAA" w:rsidRDefault="009F2EAA" w:rsidP="009F2EAA">
      <w:pPr>
        <w:pStyle w:val="ListParagraph"/>
        <w:widowControl/>
        <w:numPr>
          <w:ilvl w:val="0"/>
          <w:numId w:val="9"/>
        </w:numPr>
        <w:shd w:val="clear" w:color="auto" w:fill="FFFFFF"/>
        <w:autoSpaceDE/>
        <w:autoSpaceDN/>
        <w:adjustRightInd/>
        <w:spacing w:after="300"/>
        <w:rPr>
          <w:rFonts w:ascii="Times New Roman" w:hAnsi="Times New Roman"/>
          <w:color w:val="202020"/>
          <w:sz w:val="24"/>
        </w:rPr>
      </w:pPr>
      <w:r>
        <w:rPr>
          <w:rFonts w:ascii="Times New Roman" w:hAnsi="Times New Roman"/>
          <w:color w:val="202020"/>
          <w:sz w:val="24"/>
        </w:rPr>
        <w:t xml:space="preserve">What is the </w:t>
      </w:r>
      <w:r w:rsidR="00761737">
        <w:rPr>
          <w:rFonts w:ascii="Times New Roman" w:hAnsi="Times New Roman"/>
          <w:color w:val="202020"/>
          <w:sz w:val="24"/>
        </w:rPr>
        <w:t xml:space="preserve">cash </w:t>
      </w:r>
      <w:r>
        <w:rPr>
          <w:rFonts w:ascii="Times New Roman" w:hAnsi="Times New Roman"/>
          <w:color w:val="202020"/>
          <w:sz w:val="24"/>
        </w:rPr>
        <w:t>break-even point?</w:t>
      </w:r>
    </w:p>
    <w:p w14:paraId="46525CF6" w14:textId="61953D0F" w:rsidR="00761737" w:rsidRDefault="00761737" w:rsidP="009F2EAA">
      <w:pPr>
        <w:pStyle w:val="ListParagraph"/>
        <w:widowControl/>
        <w:numPr>
          <w:ilvl w:val="0"/>
          <w:numId w:val="9"/>
        </w:numPr>
        <w:shd w:val="clear" w:color="auto" w:fill="FFFFFF"/>
        <w:autoSpaceDE/>
        <w:autoSpaceDN/>
        <w:adjustRightInd/>
        <w:spacing w:after="300"/>
        <w:rPr>
          <w:rFonts w:ascii="Times New Roman" w:hAnsi="Times New Roman"/>
          <w:color w:val="202020"/>
          <w:sz w:val="24"/>
        </w:rPr>
      </w:pPr>
      <w:r>
        <w:rPr>
          <w:rFonts w:ascii="Times New Roman" w:hAnsi="Times New Roman"/>
          <w:color w:val="202020"/>
          <w:sz w:val="24"/>
        </w:rPr>
        <w:t xml:space="preserve">What is the accounting break-even </w:t>
      </w:r>
      <w:r w:rsidR="004B0012">
        <w:rPr>
          <w:rFonts w:ascii="Times New Roman" w:hAnsi="Times New Roman"/>
          <w:color w:val="202020"/>
          <w:sz w:val="24"/>
        </w:rPr>
        <w:t>point</w:t>
      </w:r>
      <w:r>
        <w:rPr>
          <w:rFonts w:ascii="Times New Roman" w:hAnsi="Times New Roman"/>
          <w:color w:val="202020"/>
          <w:sz w:val="24"/>
        </w:rPr>
        <w:t>?</w:t>
      </w:r>
    </w:p>
    <w:p w14:paraId="44820C11" w14:textId="45FD4E0D" w:rsidR="00761737" w:rsidRDefault="00761737" w:rsidP="009F2EAA">
      <w:pPr>
        <w:pStyle w:val="ListParagraph"/>
        <w:widowControl/>
        <w:numPr>
          <w:ilvl w:val="0"/>
          <w:numId w:val="9"/>
        </w:numPr>
        <w:shd w:val="clear" w:color="auto" w:fill="FFFFFF"/>
        <w:autoSpaceDE/>
        <w:autoSpaceDN/>
        <w:adjustRightInd/>
        <w:spacing w:after="300"/>
        <w:rPr>
          <w:rFonts w:ascii="Times New Roman" w:hAnsi="Times New Roman"/>
          <w:color w:val="202020"/>
          <w:sz w:val="24"/>
        </w:rPr>
      </w:pPr>
      <w:r>
        <w:rPr>
          <w:rFonts w:ascii="Times New Roman" w:hAnsi="Times New Roman"/>
          <w:color w:val="202020"/>
          <w:sz w:val="24"/>
        </w:rPr>
        <w:t xml:space="preserve">What is </w:t>
      </w:r>
      <w:r w:rsidR="004B0012">
        <w:rPr>
          <w:rFonts w:ascii="Times New Roman" w:hAnsi="Times New Roman"/>
          <w:color w:val="202020"/>
          <w:sz w:val="24"/>
        </w:rPr>
        <w:t>the financial break-even point?</w:t>
      </w:r>
    </w:p>
    <w:p w14:paraId="26E56374" w14:textId="0AB2580C" w:rsidR="00B84F2C" w:rsidRPr="005E3C8B" w:rsidRDefault="004E2A95" w:rsidP="003436F2">
      <w:pPr>
        <w:pStyle w:val="ListParagraph"/>
        <w:widowControl/>
        <w:numPr>
          <w:ilvl w:val="0"/>
          <w:numId w:val="9"/>
        </w:numPr>
        <w:shd w:val="clear" w:color="auto" w:fill="FFFFFF"/>
        <w:autoSpaceDE/>
        <w:autoSpaceDN/>
        <w:adjustRightInd/>
        <w:spacing w:after="300"/>
        <w:rPr>
          <w:rFonts w:ascii="Times New Roman" w:hAnsi="Times New Roman"/>
          <w:color w:val="202020"/>
          <w:sz w:val="24"/>
        </w:rPr>
      </w:pPr>
      <w:r>
        <w:rPr>
          <w:rFonts w:ascii="Times New Roman" w:hAnsi="Times New Roman"/>
          <w:color w:val="202020"/>
          <w:sz w:val="24"/>
        </w:rPr>
        <w:t>What is operating leverage</w:t>
      </w:r>
      <w:r w:rsidR="00720E71">
        <w:rPr>
          <w:rFonts w:ascii="Times New Roman" w:hAnsi="Times New Roman"/>
          <w:color w:val="202020"/>
          <w:sz w:val="24"/>
        </w:rPr>
        <w:t xml:space="preserve">, and what is </w:t>
      </w:r>
      <w:r>
        <w:rPr>
          <w:rFonts w:ascii="Times New Roman" w:hAnsi="Times New Roman"/>
          <w:color w:val="202020"/>
          <w:sz w:val="24"/>
        </w:rPr>
        <w:t>the degree of operating leverage?</w:t>
      </w:r>
    </w:p>
    <w:p w14:paraId="0904E197" w14:textId="135A959E" w:rsidR="00D41470" w:rsidRDefault="00D41470">
      <w:pPr>
        <w:jc w:val="both"/>
        <w:rPr>
          <w:rFonts w:ascii="Times New Roman" w:hAnsi="Times New Roman"/>
          <w:sz w:val="24"/>
        </w:rPr>
      </w:pPr>
    </w:p>
    <w:tbl>
      <w:tblPr>
        <w:tblW w:w="6300" w:type="dxa"/>
        <w:tblLook w:val="04A0" w:firstRow="1" w:lastRow="0" w:firstColumn="1" w:lastColumn="0" w:noHBand="0" w:noVBand="1"/>
      </w:tblPr>
      <w:tblGrid>
        <w:gridCol w:w="1980"/>
        <w:gridCol w:w="2060"/>
        <w:gridCol w:w="2260"/>
      </w:tblGrid>
      <w:tr w:rsidR="00E67629" w:rsidRPr="00E67629" w14:paraId="1D7EFF38" w14:textId="77777777" w:rsidTr="00E67629">
        <w:trPr>
          <w:trHeight w:val="345"/>
        </w:trPr>
        <w:tc>
          <w:tcPr>
            <w:tcW w:w="1980" w:type="dxa"/>
            <w:tcBorders>
              <w:top w:val="single" w:sz="12" w:space="0" w:color="auto"/>
              <w:left w:val="single" w:sz="12" w:space="0" w:color="auto"/>
              <w:bottom w:val="single" w:sz="12" w:space="0" w:color="auto"/>
              <w:right w:val="single" w:sz="12" w:space="0" w:color="auto"/>
            </w:tcBorders>
            <w:noWrap/>
            <w:vAlign w:val="center"/>
            <w:hideMark/>
          </w:tcPr>
          <w:p w14:paraId="4C8C6E7D"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Table 1</w:t>
            </w:r>
          </w:p>
        </w:tc>
        <w:tc>
          <w:tcPr>
            <w:tcW w:w="2060" w:type="dxa"/>
            <w:tcBorders>
              <w:top w:val="single" w:sz="12" w:space="0" w:color="auto"/>
              <w:left w:val="nil"/>
              <w:bottom w:val="single" w:sz="12" w:space="0" w:color="auto"/>
              <w:right w:val="single" w:sz="12" w:space="0" w:color="auto"/>
            </w:tcBorders>
            <w:noWrap/>
            <w:vAlign w:val="center"/>
            <w:hideMark/>
          </w:tcPr>
          <w:p w14:paraId="42778A80"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                           Aerospace Model                        </w:t>
            </w:r>
          </w:p>
        </w:tc>
        <w:tc>
          <w:tcPr>
            <w:tcW w:w="2260" w:type="dxa"/>
            <w:tcBorders>
              <w:top w:val="single" w:sz="12" w:space="0" w:color="auto"/>
              <w:left w:val="nil"/>
              <w:bottom w:val="single" w:sz="12" w:space="0" w:color="auto"/>
              <w:right w:val="single" w:sz="12" w:space="0" w:color="auto"/>
            </w:tcBorders>
            <w:noWrap/>
            <w:vAlign w:val="center"/>
            <w:hideMark/>
          </w:tcPr>
          <w:p w14:paraId="7F092936"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Electronic Model</w:t>
            </w:r>
          </w:p>
        </w:tc>
      </w:tr>
      <w:tr w:rsidR="00E67629" w:rsidRPr="00E67629" w14:paraId="57607027" w14:textId="77777777" w:rsidTr="00E67629">
        <w:trPr>
          <w:trHeight w:val="345"/>
        </w:trPr>
        <w:tc>
          <w:tcPr>
            <w:tcW w:w="1980" w:type="dxa"/>
            <w:tcBorders>
              <w:top w:val="nil"/>
              <w:left w:val="single" w:sz="12" w:space="0" w:color="auto"/>
              <w:bottom w:val="single" w:sz="12" w:space="0" w:color="auto"/>
              <w:right w:val="single" w:sz="12" w:space="0" w:color="auto"/>
            </w:tcBorders>
            <w:noWrap/>
            <w:vAlign w:val="center"/>
            <w:hideMark/>
          </w:tcPr>
          <w:p w14:paraId="2C11D1E6"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Purchase Price</w:t>
            </w:r>
          </w:p>
        </w:tc>
        <w:tc>
          <w:tcPr>
            <w:tcW w:w="2060" w:type="dxa"/>
            <w:tcBorders>
              <w:top w:val="nil"/>
              <w:left w:val="nil"/>
              <w:bottom w:val="single" w:sz="12" w:space="0" w:color="auto"/>
              <w:right w:val="single" w:sz="12" w:space="0" w:color="auto"/>
            </w:tcBorders>
            <w:noWrap/>
            <w:vAlign w:val="center"/>
            <w:hideMark/>
          </w:tcPr>
          <w:p w14:paraId="42AE3421"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$2,500,000 </w:t>
            </w:r>
          </w:p>
        </w:tc>
        <w:tc>
          <w:tcPr>
            <w:tcW w:w="2260" w:type="dxa"/>
            <w:tcBorders>
              <w:top w:val="nil"/>
              <w:left w:val="nil"/>
              <w:bottom w:val="single" w:sz="12" w:space="0" w:color="auto"/>
              <w:right w:val="single" w:sz="12" w:space="0" w:color="auto"/>
            </w:tcBorders>
            <w:noWrap/>
            <w:vAlign w:val="center"/>
            <w:hideMark/>
          </w:tcPr>
          <w:p w14:paraId="3012AC15"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$4,000,000 </w:t>
            </w:r>
          </w:p>
        </w:tc>
      </w:tr>
      <w:tr w:rsidR="00E67629" w:rsidRPr="00E67629" w14:paraId="49E75AF3" w14:textId="77777777" w:rsidTr="00E67629">
        <w:trPr>
          <w:trHeight w:val="360"/>
        </w:trPr>
        <w:tc>
          <w:tcPr>
            <w:tcW w:w="1980" w:type="dxa"/>
            <w:tcBorders>
              <w:top w:val="nil"/>
              <w:left w:val="single" w:sz="12" w:space="0" w:color="auto"/>
              <w:bottom w:val="single" w:sz="12" w:space="0" w:color="auto"/>
              <w:right w:val="single" w:sz="12" w:space="0" w:color="auto"/>
            </w:tcBorders>
            <w:noWrap/>
            <w:vAlign w:val="center"/>
            <w:hideMark/>
          </w:tcPr>
          <w:p w14:paraId="29BB6FCC"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Output</w:t>
            </w:r>
          </w:p>
        </w:tc>
        <w:tc>
          <w:tcPr>
            <w:tcW w:w="2060" w:type="dxa"/>
            <w:tcBorders>
              <w:top w:val="nil"/>
              <w:left w:val="nil"/>
              <w:bottom w:val="single" w:sz="12" w:space="0" w:color="auto"/>
              <w:right w:val="single" w:sz="12" w:space="0" w:color="auto"/>
            </w:tcBorders>
            <w:noWrap/>
            <w:vAlign w:val="center"/>
            <w:hideMark/>
          </w:tcPr>
          <w:p w14:paraId="16BCA09B"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2,500</w:t>
            </w:r>
          </w:p>
        </w:tc>
        <w:tc>
          <w:tcPr>
            <w:tcW w:w="2260" w:type="dxa"/>
            <w:tcBorders>
              <w:top w:val="nil"/>
              <w:left w:val="nil"/>
              <w:bottom w:val="single" w:sz="12" w:space="0" w:color="auto"/>
              <w:right w:val="single" w:sz="12" w:space="0" w:color="auto"/>
            </w:tcBorders>
            <w:noWrap/>
            <w:vAlign w:val="center"/>
            <w:hideMark/>
          </w:tcPr>
          <w:p w14:paraId="5D6A1653"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3,000</w:t>
            </w:r>
          </w:p>
        </w:tc>
      </w:tr>
      <w:tr w:rsidR="00E67629" w:rsidRPr="00E67629" w14:paraId="5FD21F6B" w14:textId="77777777" w:rsidTr="00E67629">
        <w:trPr>
          <w:trHeight w:val="315"/>
        </w:trPr>
        <w:tc>
          <w:tcPr>
            <w:tcW w:w="1980" w:type="dxa"/>
            <w:tcBorders>
              <w:top w:val="nil"/>
              <w:left w:val="single" w:sz="12" w:space="0" w:color="auto"/>
              <w:bottom w:val="single" w:sz="12" w:space="0" w:color="auto"/>
              <w:right w:val="single" w:sz="12" w:space="0" w:color="auto"/>
            </w:tcBorders>
            <w:noWrap/>
            <w:vAlign w:val="center"/>
            <w:hideMark/>
          </w:tcPr>
          <w:p w14:paraId="4B98EC3A"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Growth in Output</w:t>
            </w:r>
          </w:p>
        </w:tc>
        <w:tc>
          <w:tcPr>
            <w:tcW w:w="2060" w:type="dxa"/>
            <w:tcBorders>
              <w:top w:val="nil"/>
              <w:left w:val="nil"/>
              <w:bottom w:val="single" w:sz="12" w:space="0" w:color="auto"/>
              <w:right w:val="single" w:sz="12" w:space="0" w:color="auto"/>
            </w:tcBorders>
            <w:noWrap/>
            <w:vAlign w:val="center"/>
            <w:hideMark/>
          </w:tcPr>
          <w:p w14:paraId="44AB3FA4"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3%</w:t>
            </w:r>
          </w:p>
        </w:tc>
        <w:tc>
          <w:tcPr>
            <w:tcW w:w="2260" w:type="dxa"/>
            <w:tcBorders>
              <w:top w:val="nil"/>
              <w:left w:val="nil"/>
              <w:bottom w:val="single" w:sz="12" w:space="0" w:color="auto"/>
              <w:right w:val="single" w:sz="12" w:space="0" w:color="auto"/>
            </w:tcBorders>
            <w:noWrap/>
            <w:vAlign w:val="center"/>
            <w:hideMark/>
          </w:tcPr>
          <w:p w14:paraId="78B556DC"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4%</w:t>
            </w:r>
          </w:p>
        </w:tc>
      </w:tr>
      <w:tr w:rsidR="00E67629" w:rsidRPr="00E67629" w14:paraId="6A5A7604" w14:textId="77777777" w:rsidTr="00E67629">
        <w:trPr>
          <w:trHeight w:val="345"/>
        </w:trPr>
        <w:tc>
          <w:tcPr>
            <w:tcW w:w="1980" w:type="dxa"/>
            <w:tcBorders>
              <w:top w:val="nil"/>
              <w:left w:val="single" w:sz="12" w:space="0" w:color="auto"/>
              <w:bottom w:val="single" w:sz="12" w:space="0" w:color="auto"/>
              <w:right w:val="single" w:sz="12" w:space="0" w:color="auto"/>
            </w:tcBorders>
            <w:noWrap/>
            <w:vAlign w:val="center"/>
            <w:hideMark/>
          </w:tcPr>
          <w:p w14:paraId="1B0C427C"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Variable Cost</w:t>
            </w:r>
          </w:p>
        </w:tc>
        <w:tc>
          <w:tcPr>
            <w:tcW w:w="2060" w:type="dxa"/>
            <w:tcBorders>
              <w:top w:val="nil"/>
              <w:left w:val="nil"/>
              <w:bottom w:val="single" w:sz="12" w:space="0" w:color="auto"/>
              <w:right w:val="single" w:sz="12" w:space="0" w:color="auto"/>
            </w:tcBorders>
            <w:noWrap/>
            <w:vAlign w:val="center"/>
            <w:hideMark/>
          </w:tcPr>
          <w:p w14:paraId="405F5721"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$400 </w:t>
            </w:r>
          </w:p>
        </w:tc>
        <w:tc>
          <w:tcPr>
            <w:tcW w:w="2260" w:type="dxa"/>
            <w:tcBorders>
              <w:top w:val="nil"/>
              <w:left w:val="nil"/>
              <w:bottom w:val="single" w:sz="12" w:space="0" w:color="auto"/>
              <w:right w:val="single" w:sz="12" w:space="0" w:color="auto"/>
            </w:tcBorders>
            <w:noWrap/>
            <w:vAlign w:val="center"/>
            <w:hideMark/>
          </w:tcPr>
          <w:p w14:paraId="249E5CCA"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$500 </w:t>
            </w:r>
          </w:p>
        </w:tc>
      </w:tr>
      <w:tr w:rsidR="00E67629" w:rsidRPr="00E67629" w14:paraId="6A15D1CE" w14:textId="77777777" w:rsidTr="00E67629">
        <w:trPr>
          <w:trHeight w:val="345"/>
        </w:trPr>
        <w:tc>
          <w:tcPr>
            <w:tcW w:w="1980" w:type="dxa"/>
            <w:tcBorders>
              <w:top w:val="nil"/>
              <w:left w:val="single" w:sz="12" w:space="0" w:color="auto"/>
              <w:bottom w:val="single" w:sz="12" w:space="0" w:color="auto"/>
              <w:right w:val="single" w:sz="12" w:space="0" w:color="auto"/>
            </w:tcBorders>
            <w:noWrap/>
            <w:vAlign w:val="center"/>
            <w:hideMark/>
          </w:tcPr>
          <w:p w14:paraId="2B6E5FFB"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Growth in Costs</w:t>
            </w:r>
          </w:p>
        </w:tc>
        <w:tc>
          <w:tcPr>
            <w:tcW w:w="2060" w:type="dxa"/>
            <w:tcBorders>
              <w:top w:val="nil"/>
              <w:left w:val="nil"/>
              <w:bottom w:val="single" w:sz="12" w:space="0" w:color="auto"/>
              <w:right w:val="single" w:sz="12" w:space="0" w:color="auto"/>
            </w:tcBorders>
            <w:noWrap/>
            <w:vAlign w:val="center"/>
            <w:hideMark/>
          </w:tcPr>
          <w:p w14:paraId="4464E292"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3%</w:t>
            </w:r>
          </w:p>
        </w:tc>
        <w:tc>
          <w:tcPr>
            <w:tcW w:w="2260" w:type="dxa"/>
            <w:tcBorders>
              <w:top w:val="nil"/>
              <w:left w:val="nil"/>
              <w:bottom w:val="single" w:sz="12" w:space="0" w:color="auto"/>
              <w:right w:val="single" w:sz="12" w:space="0" w:color="auto"/>
            </w:tcBorders>
            <w:noWrap/>
            <w:vAlign w:val="center"/>
            <w:hideMark/>
          </w:tcPr>
          <w:p w14:paraId="6D54D254"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3%</w:t>
            </w:r>
          </w:p>
        </w:tc>
      </w:tr>
      <w:tr w:rsidR="00E67629" w:rsidRPr="00E67629" w14:paraId="1593627D" w14:textId="77777777" w:rsidTr="00E67629">
        <w:trPr>
          <w:trHeight w:val="345"/>
        </w:trPr>
        <w:tc>
          <w:tcPr>
            <w:tcW w:w="1980" w:type="dxa"/>
            <w:tcBorders>
              <w:top w:val="nil"/>
              <w:left w:val="single" w:sz="12" w:space="0" w:color="auto"/>
              <w:bottom w:val="nil"/>
              <w:right w:val="single" w:sz="12" w:space="0" w:color="auto"/>
            </w:tcBorders>
            <w:noWrap/>
            <w:vAlign w:val="center"/>
            <w:hideMark/>
          </w:tcPr>
          <w:p w14:paraId="621EBE40"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Fixed Cost</w:t>
            </w:r>
          </w:p>
        </w:tc>
        <w:tc>
          <w:tcPr>
            <w:tcW w:w="2060" w:type="dxa"/>
            <w:tcBorders>
              <w:top w:val="nil"/>
              <w:left w:val="nil"/>
              <w:bottom w:val="single" w:sz="12" w:space="0" w:color="auto"/>
              <w:right w:val="single" w:sz="8" w:space="0" w:color="auto"/>
            </w:tcBorders>
            <w:noWrap/>
            <w:vAlign w:val="bottom"/>
            <w:hideMark/>
          </w:tcPr>
          <w:p w14:paraId="5075851A" w14:textId="77777777" w:rsidR="00E67629" w:rsidRPr="00E67629" w:rsidRDefault="00E67629" w:rsidP="00E67629">
            <w:pPr>
              <w:widowControl/>
              <w:autoSpaceDE/>
              <w:autoSpaceDN/>
              <w:adjustRightInd/>
              <w:jc w:val="center"/>
              <w:rPr>
                <w:rFonts w:ascii="Arial" w:hAnsi="Arial" w:cs="Arial"/>
                <w:szCs w:val="20"/>
              </w:rPr>
            </w:pPr>
            <w:r w:rsidRPr="00E67629">
              <w:rPr>
                <w:rFonts w:ascii="Arial" w:hAnsi="Arial" w:cs="Arial"/>
                <w:szCs w:val="20"/>
              </w:rPr>
              <w:t xml:space="preserve">$200,000 </w:t>
            </w:r>
          </w:p>
        </w:tc>
        <w:tc>
          <w:tcPr>
            <w:tcW w:w="2260" w:type="dxa"/>
            <w:tcBorders>
              <w:top w:val="nil"/>
              <w:left w:val="nil"/>
              <w:bottom w:val="single" w:sz="12" w:space="0" w:color="auto"/>
              <w:right w:val="single" w:sz="12" w:space="0" w:color="auto"/>
            </w:tcBorders>
            <w:noWrap/>
            <w:vAlign w:val="bottom"/>
            <w:hideMark/>
          </w:tcPr>
          <w:p w14:paraId="478006D8" w14:textId="77777777" w:rsidR="00E67629" w:rsidRPr="00E67629" w:rsidRDefault="00E67629" w:rsidP="00E67629">
            <w:pPr>
              <w:widowControl/>
              <w:autoSpaceDE/>
              <w:autoSpaceDN/>
              <w:adjustRightInd/>
              <w:jc w:val="center"/>
              <w:rPr>
                <w:rFonts w:ascii="Arial" w:hAnsi="Arial" w:cs="Arial"/>
                <w:szCs w:val="20"/>
              </w:rPr>
            </w:pPr>
            <w:r w:rsidRPr="00E67629">
              <w:rPr>
                <w:rFonts w:ascii="Arial" w:hAnsi="Arial" w:cs="Arial"/>
                <w:szCs w:val="20"/>
              </w:rPr>
              <w:t xml:space="preserve">$550,000 </w:t>
            </w:r>
          </w:p>
        </w:tc>
      </w:tr>
      <w:tr w:rsidR="00E67629" w:rsidRPr="00E67629" w14:paraId="1329B661" w14:textId="77777777" w:rsidTr="00E67629">
        <w:trPr>
          <w:trHeight w:val="345"/>
        </w:trPr>
        <w:tc>
          <w:tcPr>
            <w:tcW w:w="1980" w:type="dxa"/>
            <w:tcBorders>
              <w:top w:val="single" w:sz="12" w:space="0" w:color="auto"/>
              <w:left w:val="single" w:sz="12" w:space="0" w:color="auto"/>
              <w:bottom w:val="single" w:sz="12" w:space="0" w:color="auto"/>
              <w:right w:val="single" w:sz="12" w:space="0" w:color="auto"/>
            </w:tcBorders>
            <w:noWrap/>
            <w:vAlign w:val="center"/>
            <w:hideMark/>
          </w:tcPr>
          <w:p w14:paraId="52361CF7"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Unit Price</w:t>
            </w:r>
          </w:p>
        </w:tc>
        <w:tc>
          <w:tcPr>
            <w:tcW w:w="2060" w:type="dxa"/>
            <w:tcBorders>
              <w:top w:val="nil"/>
              <w:left w:val="nil"/>
              <w:bottom w:val="single" w:sz="12" w:space="0" w:color="auto"/>
              <w:right w:val="single" w:sz="12" w:space="0" w:color="auto"/>
            </w:tcBorders>
            <w:noWrap/>
            <w:vAlign w:val="center"/>
            <w:hideMark/>
          </w:tcPr>
          <w:p w14:paraId="01021B7B"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$800 </w:t>
            </w:r>
          </w:p>
        </w:tc>
        <w:tc>
          <w:tcPr>
            <w:tcW w:w="2260" w:type="dxa"/>
            <w:tcBorders>
              <w:top w:val="nil"/>
              <w:left w:val="nil"/>
              <w:bottom w:val="single" w:sz="12" w:space="0" w:color="auto"/>
              <w:right w:val="single" w:sz="12" w:space="0" w:color="auto"/>
            </w:tcBorders>
            <w:noWrap/>
            <w:vAlign w:val="center"/>
            <w:hideMark/>
          </w:tcPr>
          <w:p w14:paraId="48E4F8CD"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$1,000 </w:t>
            </w:r>
          </w:p>
        </w:tc>
      </w:tr>
      <w:tr w:rsidR="00E67629" w:rsidRPr="00E67629" w14:paraId="1EA1EB72" w14:textId="77777777" w:rsidTr="00E67629">
        <w:trPr>
          <w:trHeight w:val="345"/>
        </w:trPr>
        <w:tc>
          <w:tcPr>
            <w:tcW w:w="1980" w:type="dxa"/>
            <w:tcBorders>
              <w:top w:val="nil"/>
              <w:left w:val="single" w:sz="12" w:space="0" w:color="auto"/>
              <w:bottom w:val="single" w:sz="12" w:space="0" w:color="auto"/>
              <w:right w:val="single" w:sz="12" w:space="0" w:color="auto"/>
            </w:tcBorders>
            <w:noWrap/>
            <w:vAlign w:val="center"/>
            <w:hideMark/>
          </w:tcPr>
          <w:p w14:paraId="42466761"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Price Increase</w:t>
            </w:r>
          </w:p>
        </w:tc>
        <w:tc>
          <w:tcPr>
            <w:tcW w:w="2060" w:type="dxa"/>
            <w:tcBorders>
              <w:top w:val="nil"/>
              <w:left w:val="nil"/>
              <w:bottom w:val="single" w:sz="12" w:space="0" w:color="auto"/>
              <w:right w:val="single" w:sz="12" w:space="0" w:color="auto"/>
            </w:tcBorders>
            <w:noWrap/>
            <w:vAlign w:val="center"/>
            <w:hideMark/>
          </w:tcPr>
          <w:p w14:paraId="21F8BA4C"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3%</w:t>
            </w:r>
          </w:p>
        </w:tc>
        <w:tc>
          <w:tcPr>
            <w:tcW w:w="2260" w:type="dxa"/>
            <w:tcBorders>
              <w:top w:val="nil"/>
              <w:left w:val="nil"/>
              <w:bottom w:val="single" w:sz="12" w:space="0" w:color="auto"/>
              <w:right w:val="single" w:sz="12" w:space="0" w:color="auto"/>
            </w:tcBorders>
            <w:noWrap/>
            <w:vAlign w:val="center"/>
            <w:hideMark/>
          </w:tcPr>
          <w:p w14:paraId="5E0FC914"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3%</w:t>
            </w:r>
          </w:p>
        </w:tc>
      </w:tr>
      <w:tr w:rsidR="00E67629" w:rsidRPr="00E67629" w14:paraId="378D3F6C" w14:textId="77777777" w:rsidTr="00E67629">
        <w:trPr>
          <w:trHeight w:val="345"/>
        </w:trPr>
        <w:tc>
          <w:tcPr>
            <w:tcW w:w="1980" w:type="dxa"/>
            <w:tcBorders>
              <w:top w:val="nil"/>
              <w:left w:val="single" w:sz="12" w:space="0" w:color="auto"/>
              <w:bottom w:val="single" w:sz="12" w:space="0" w:color="auto"/>
              <w:right w:val="single" w:sz="12" w:space="0" w:color="auto"/>
            </w:tcBorders>
            <w:noWrap/>
            <w:vAlign w:val="center"/>
            <w:hideMark/>
          </w:tcPr>
          <w:p w14:paraId="44D22C76"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Beta</w:t>
            </w:r>
          </w:p>
        </w:tc>
        <w:tc>
          <w:tcPr>
            <w:tcW w:w="2060" w:type="dxa"/>
            <w:tcBorders>
              <w:top w:val="nil"/>
              <w:left w:val="nil"/>
              <w:bottom w:val="single" w:sz="12" w:space="0" w:color="auto"/>
              <w:right w:val="single" w:sz="12" w:space="0" w:color="auto"/>
            </w:tcBorders>
            <w:noWrap/>
            <w:vAlign w:val="center"/>
            <w:hideMark/>
          </w:tcPr>
          <w:p w14:paraId="4E007F9C"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1</w:t>
            </w:r>
          </w:p>
        </w:tc>
        <w:tc>
          <w:tcPr>
            <w:tcW w:w="2260" w:type="dxa"/>
            <w:tcBorders>
              <w:top w:val="nil"/>
              <w:left w:val="nil"/>
              <w:bottom w:val="single" w:sz="12" w:space="0" w:color="auto"/>
              <w:right w:val="single" w:sz="12" w:space="0" w:color="auto"/>
            </w:tcBorders>
            <w:noWrap/>
            <w:vAlign w:val="center"/>
            <w:hideMark/>
          </w:tcPr>
          <w:p w14:paraId="042C6E39"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1.4</w:t>
            </w:r>
          </w:p>
        </w:tc>
      </w:tr>
      <w:tr w:rsidR="00E67629" w:rsidRPr="00E67629" w14:paraId="3239036B" w14:textId="77777777" w:rsidTr="00E67629">
        <w:trPr>
          <w:trHeight w:val="345"/>
        </w:trPr>
        <w:tc>
          <w:tcPr>
            <w:tcW w:w="1980" w:type="dxa"/>
            <w:tcBorders>
              <w:top w:val="nil"/>
              <w:left w:val="single" w:sz="12" w:space="0" w:color="auto"/>
              <w:bottom w:val="single" w:sz="12" w:space="0" w:color="auto"/>
              <w:right w:val="single" w:sz="12" w:space="0" w:color="auto"/>
            </w:tcBorders>
            <w:noWrap/>
            <w:vAlign w:val="center"/>
            <w:hideMark/>
          </w:tcPr>
          <w:p w14:paraId="40C6ED59"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Straight line Dep.</w:t>
            </w:r>
          </w:p>
        </w:tc>
        <w:tc>
          <w:tcPr>
            <w:tcW w:w="2060" w:type="dxa"/>
            <w:tcBorders>
              <w:top w:val="nil"/>
              <w:left w:val="nil"/>
              <w:bottom w:val="single" w:sz="12" w:space="0" w:color="auto"/>
              <w:right w:val="single" w:sz="12" w:space="0" w:color="auto"/>
            </w:tcBorders>
            <w:noWrap/>
            <w:vAlign w:val="bottom"/>
            <w:hideMark/>
          </w:tcPr>
          <w:p w14:paraId="2A8C4461"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5-years</w:t>
            </w:r>
          </w:p>
        </w:tc>
        <w:tc>
          <w:tcPr>
            <w:tcW w:w="2260" w:type="dxa"/>
            <w:tcBorders>
              <w:top w:val="nil"/>
              <w:left w:val="nil"/>
              <w:bottom w:val="single" w:sz="12" w:space="0" w:color="auto"/>
              <w:right w:val="single" w:sz="12" w:space="0" w:color="auto"/>
            </w:tcBorders>
            <w:noWrap/>
            <w:vAlign w:val="bottom"/>
            <w:hideMark/>
          </w:tcPr>
          <w:p w14:paraId="6227F6EE"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5-years</w:t>
            </w:r>
          </w:p>
        </w:tc>
      </w:tr>
      <w:tr w:rsidR="00E67629" w:rsidRPr="00E67629" w14:paraId="1DA5E3A9" w14:textId="77777777" w:rsidTr="00E67629">
        <w:trPr>
          <w:trHeight w:val="345"/>
        </w:trPr>
        <w:tc>
          <w:tcPr>
            <w:tcW w:w="1980" w:type="dxa"/>
            <w:tcBorders>
              <w:top w:val="nil"/>
              <w:left w:val="single" w:sz="12" w:space="0" w:color="auto"/>
              <w:bottom w:val="single" w:sz="12" w:space="0" w:color="auto"/>
              <w:right w:val="single" w:sz="12" w:space="0" w:color="auto"/>
            </w:tcBorders>
            <w:noWrap/>
            <w:vAlign w:val="center"/>
            <w:hideMark/>
          </w:tcPr>
          <w:p w14:paraId="5044FC7B"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Salvage value </w:t>
            </w:r>
          </w:p>
        </w:tc>
        <w:tc>
          <w:tcPr>
            <w:tcW w:w="2060" w:type="dxa"/>
            <w:tcBorders>
              <w:top w:val="nil"/>
              <w:left w:val="nil"/>
              <w:bottom w:val="single" w:sz="12" w:space="0" w:color="auto"/>
              <w:right w:val="single" w:sz="12" w:space="0" w:color="auto"/>
            </w:tcBorders>
            <w:noWrap/>
            <w:vAlign w:val="bottom"/>
            <w:hideMark/>
          </w:tcPr>
          <w:p w14:paraId="0196E802"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0</w:t>
            </w:r>
          </w:p>
        </w:tc>
        <w:tc>
          <w:tcPr>
            <w:tcW w:w="2260" w:type="dxa"/>
            <w:tcBorders>
              <w:top w:val="nil"/>
              <w:left w:val="nil"/>
              <w:bottom w:val="single" w:sz="12" w:space="0" w:color="auto"/>
              <w:right w:val="single" w:sz="12" w:space="0" w:color="auto"/>
            </w:tcBorders>
            <w:noWrap/>
            <w:vAlign w:val="bottom"/>
            <w:hideMark/>
          </w:tcPr>
          <w:p w14:paraId="154F48BB"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0</w:t>
            </w:r>
          </w:p>
        </w:tc>
      </w:tr>
      <w:tr w:rsidR="00E67629" w:rsidRPr="00E67629" w14:paraId="4D2DF6F7" w14:textId="77777777" w:rsidTr="00E67629">
        <w:trPr>
          <w:trHeight w:val="345"/>
        </w:trPr>
        <w:tc>
          <w:tcPr>
            <w:tcW w:w="1980" w:type="dxa"/>
            <w:tcBorders>
              <w:top w:val="nil"/>
              <w:left w:val="single" w:sz="12" w:space="0" w:color="auto"/>
              <w:bottom w:val="single" w:sz="12" w:space="0" w:color="auto"/>
              <w:right w:val="single" w:sz="12" w:space="0" w:color="auto"/>
            </w:tcBorders>
            <w:noWrap/>
            <w:vAlign w:val="center"/>
            <w:hideMark/>
          </w:tcPr>
          <w:p w14:paraId="001B9271"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 xml:space="preserve">Tax Rate </w:t>
            </w:r>
          </w:p>
        </w:tc>
        <w:tc>
          <w:tcPr>
            <w:tcW w:w="2060" w:type="dxa"/>
            <w:tcBorders>
              <w:top w:val="nil"/>
              <w:left w:val="nil"/>
              <w:bottom w:val="single" w:sz="12" w:space="0" w:color="auto"/>
              <w:right w:val="single" w:sz="12" w:space="0" w:color="auto"/>
            </w:tcBorders>
            <w:noWrap/>
            <w:vAlign w:val="center"/>
            <w:hideMark/>
          </w:tcPr>
          <w:p w14:paraId="3CCDB22F"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25%</w:t>
            </w:r>
          </w:p>
        </w:tc>
        <w:tc>
          <w:tcPr>
            <w:tcW w:w="2260" w:type="dxa"/>
            <w:tcBorders>
              <w:top w:val="nil"/>
              <w:left w:val="nil"/>
              <w:bottom w:val="single" w:sz="12" w:space="0" w:color="auto"/>
              <w:right w:val="single" w:sz="12" w:space="0" w:color="auto"/>
            </w:tcBorders>
            <w:noWrap/>
            <w:vAlign w:val="center"/>
            <w:hideMark/>
          </w:tcPr>
          <w:p w14:paraId="3A398EF4" w14:textId="77777777" w:rsidR="00E67629" w:rsidRPr="00E67629" w:rsidRDefault="00E67629" w:rsidP="00E67629">
            <w:pPr>
              <w:widowControl/>
              <w:autoSpaceDE/>
              <w:autoSpaceDN/>
              <w:adjustRightInd/>
              <w:jc w:val="center"/>
              <w:rPr>
                <w:rFonts w:ascii="Times New Roman" w:hAnsi="Times New Roman"/>
                <w:sz w:val="24"/>
              </w:rPr>
            </w:pPr>
            <w:r w:rsidRPr="00E67629">
              <w:rPr>
                <w:rFonts w:ascii="Times New Roman" w:hAnsi="Times New Roman"/>
                <w:sz w:val="24"/>
              </w:rPr>
              <w:t>25%</w:t>
            </w:r>
          </w:p>
        </w:tc>
      </w:tr>
    </w:tbl>
    <w:p w14:paraId="152A9C7A" w14:textId="1EC1B223" w:rsidR="00E67629" w:rsidRDefault="00E67629">
      <w:pPr>
        <w:jc w:val="both"/>
        <w:rPr>
          <w:rFonts w:ascii="Times New Roman" w:hAnsi="Times New Roman"/>
          <w:sz w:val="24"/>
        </w:rPr>
      </w:pPr>
    </w:p>
    <w:tbl>
      <w:tblPr>
        <w:tblW w:w="8195" w:type="dxa"/>
        <w:tblInd w:w="108" w:type="dxa"/>
        <w:tblLook w:val="04A0" w:firstRow="1" w:lastRow="0" w:firstColumn="1" w:lastColumn="0" w:noHBand="0" w:noVBand="1"/>
      </w:tblPr>
      <w:tblGrid>
        <w:gridCol w:w="1900"/>
        <w:gridCol w:w="1880"/>
        <w:gridCol w:w="1083"/>
        <w:gridCol w:w="3332"/>
      </w:tblGrid>
      <w:tr w:rsidR="00E80781" w:rsidRPr="000960AD" w14:paraId="0ED1E7A8" w14:textId="77777777" w:rsidTr="00AD22A2">
        <w:trPr>
          <w:trHeight w:val="960"/>
        </w:trPr>
        <w:tc>
          <w:tcPr>
            <w:tcW w:w="1900" w:type="dxa"/>
            <w:tcBorders>
              <w:top w:val="single" w:sz="8" w:space="0" w:color="auto"/>
              <w:left w:val="single" w:sz="8" w:space="0" w:color="auto"/>
              <w:bottom w:val="single" w:sz="8" w:space="0" w:color="auto"/>
              <w:right w:val="single" w:sz="8" w:space="0" w:color="auto"/>
            </w:tcBorders>
            <w:noWrap/>
            <w:vAlign w:val="bottom"/>
            <w:hideMark/>
          </w:tcPr>
          <w:p w14:paraId="3F4ABEA0" w14:textId="17E22F5D" w:rsidR="00E80781" w:rsidRPr="000960AD" w:rsidRDefault="00E67629" w:rsidP="00E80781">
            <w:pPr>
              <w:widowControl/>
              <w:autoSpaceDE/>
              <w:autoSpaceDN/>
              <w:adjustRightInd/>
              <w:jc w:val="both"/>
              <w:rPr>
                <w:rFonts w:ascii="Times New Roman" w:hAnsi="Times New Roman"/>
                <w:color w:val="000000"/>
                <w:sz w:val="24"/>
              </w:rPr>
            </w:pPr>
            <w:r>
              <w:rPr>
                <w:rFonts w:ascii="Times New Roman" w:hAnsi="Times New Roman"/>
                <w:color w:val="000000"/>
                <w:sz w:val="24"/>
              </w:rPr>
              <w:t>T</w:t>
            </w:r>
            <w:r w:rsidR="00E80781" w:rsidRPr="000960AD">
              <w:rPr>
                <w:rFonts w:ascii="Times New Roman" w:hAnsi="Times New Roman"/>
                <w:color w:val="000000"/>
                <w:sz w:val="24"/>
              </w:rPr>
              <w:t>able 2</w:t>
            </w:r>
          </w:p>
        </w:tc>
        <w:tc>
          <w:tcPr>
            <w:tcW w:w="1880" w:type="dxa"/>
            <w:tcBorders>
              <w:top w:val="single" w:sz="8" w:space="0" w:color="auto"/>
              <w:left w:val="nil"/>
              <w:bottom w:val="single" w:sz="8" w:space="0" w:color="auto"/>
              <w:right w:val="single" w:sz="8" w:space="0" w:color="auto"/>
            </w:tcBorders>
            <w:vAlign w:val="bottom"/>
            <w:hideMark/>
          </w:tcPr>
          <w:p w14:paraId="63ED68D6" w14:textId="77777777" w:rsidR="00E80781"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Expected Return</w:t>
            </w:r>
          </w:p>
          <w:p w14:paraId="317FDACA" w14:textId="432D8541" w:rsidR="00E32465" w:rsidRPr="000960AD" w:rsidRDefault="00E32465" w:rsidP="00E80781">
            <w:pPr>
              <w:widowControl/>
              <w:autoSpaceDE/>
              <w:autoSpaceDN/>
              <w:adjustRightInd/>
              <w:jc w:val="center"/>
              <w:rPr>
                <w:rFonts w:ascii="Times New Roman" w:hAnsi="Times New Roman"/>
                <w:color w:val="000000"/>
                <w:sz w:val="24"/>
              </w:rPr>
            </w:pPr>
            <w:r>
              <w:rPr>
                <w:rFonts w:ascii="Times New Roman" w:hAnsi="Times New Roman"/>
                <w:color w:val="000000"/>
                <w:sz w:val="24"/>
              </w:rPr>
              <w:t>E(R)</w:t>
            </w:r>
          </w:p>
        </w:tc>
        <w:tc>
          <w:tcPr>
            <w:tcW w:w="1083" w:type="dxa"/>
            <w:tcBorders>
              <w:top w:val="single" w:sz="8" w:space="0" w:color="auto"/>
              <w:left w:val="nil"/>
              <w:bottom w:val="single" w:sz="8" w:space="0" w:color="auto"/>
              <w:right w:val="single" w:sz="8" w:space="0" w:color="auto"/>
            </w:tcBorders>
            <w:noWrap/>
            <w:vAlign w:val="bottom"/>
            <w:hideMark/>
          </w:tcPr>
          <w:p w14:paraId="2DCDB8FE" w14:textId="77777777" w:rsidR="00E80781"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Variance</w:t>
            </w:r>
          </w:p>
          <w:p w14:paraId="10F948FC" w14:textId="015846E9" w:rsidR="00E32465" w:rsidRPr="00E32465" w:rsidRDefault="00E32465" w:rsidP="00E80781">
            <w:pPr>
              <w:widowControl/>
              <w:autoSpaceDE/>
              <w:autoSpaceDN/>
              <w:adjustRightInd/>
              <w:jc w:val="center"/>
              <w:rPr>
                <w:rFonts w:asciiTheme="majorBidi" w:hAnsiTheme="majorBidi" w:cstheme="majorBidi"/>
                <w:color w:val="000000"/>
                <w:sz w:val="24"/>
              </w:rPr>
            </w:pPr>
            <w:r>
              <w:rPr>
                <w:rFonts w:asciiTheme="majorBidi" w:hAnsiTheme="majorBidi" w:cstheme="majorBidi"/>
                <w:color w:val="000000"/>
                <w:sz w:val="24"/>
              </w:rPr>
              <w:t>(R)</w:t>
            </w:r>
          </w:p>
        </w:tc>
        <w:tc>
          <w:tcPr>
            <w:tcW w:w="3332" w:type="dxa"/>
            <w:tcBorders>
              <w:top w:val="single" w:sz="8" w:space="0" w:color="auto"/>
              <w:left w:val="nil"/>
              <w:bottom w:val="single" w:sz="8" w:space="0" w:color="auto"/>
              <w:right w:val="single" w:sz="8" w:space="0" w:color="auto"/>
            </w:tcBorders>
            <w:vAlign w:val="bottom"/>
            <w:hideMark/>
          </w:tcPr>
          <w:p w14:paraId="48EFCAD5" w14:textId="77777777" w:rsidR="00E80781" w:rsidRDefault="00E80781" w:rsidP="00E80781">
            <w:pPr>
              <w:widowControl/>
              <w:autoSpaceDE/>
              <w:autoSpaceDN/>
              <w:adjustRightInd/>
              <w:rPr>
                <w:rFonts w:ascii="Times New Roman" w:hAnsi="Times New Roman"/>
                <w:color w:val="000000"/>
                <w:sz w:val="24"/>
              </w:rPr>
            </w:pPr>
            <w:r w:rsidRPr="000960AD">
              <w:rPr>
                <w:rFonts w:ascii="Times New Roman" w:hAnsi="Times New Roman"/>
                <w:color w:val="000000"/>
                <w:sz w:val="24"/>
              </w:rPr>
              <w:t>Covariance with Market Return</w:t>
            </w:r>
          </w:p>
          <w:p w14:paraId="4671979B" w14:textId="6A57608D" w:rsidR="00E32465" w:rsidRPr="000960AD" w:rsidRDefault="00E32465" w:rsidP="00E80781">
            <w:pPr>
              <w:widowControl/>
              <w:autoSpaceDE/>
              <w:autoSpaceDN/>
              <w:adjustRightInd/>
              <w:rPr>
                <w:rFonts w:ascii="Times New Roman" w:hAnsi="Times New Roman"/>
                <w:color w:val="000000"/>
                <w:sz w:val="24"/>
              </w:rPr>
            </w:pPr>
            <w:r>
              <w:rPr>
                <w:rFonts w:ascii="Times New Roman" w:hAnsi="Times New Roman"/>
                <w:color w:val="000000"/>
                <w:sz w:val="24"/>
              </w:rPr>
              <w:t>Cov (Ri, Rm)</w:t>
            </w:r>
          </w:p>
        </w:tc>
      </w:tr>
      <w:tr w:rsidR="00E80781" w:rsidRPr="000960AD" w14:paraId="2B38208B" w14:textId="77777777" w:rsidTr="00AD22A2">
        <w:trPr>
          <w:trHeight w:val="330"/>
        </w:trPr>
        <w:tc>
          <w:tcPr>
            <w:tcW w:w="1900" w:type="dxa"/>
            <w:tcBorders>
              <w:top w:val="nil"/>
              <w:left w:val="single" w:sz="8" w:space="0" w:color="auto"/>
              <w:bottom w:val="single" w:sz="8" w:space="0" w:color="auto"/>
              <w:right w:val="single" w:sz="8" w:space="0" w:color="auto"/>
            </w:tcBorders>
            <w:noWrap/>
            <w:vAlign w:val="bottom"/>
            <w:hideMark/>
          </w:tcPr>
          <w:p w14:paraId="25B0E369" w14:textId="77777777" w:rsidR="00E80781" w:rsidRPr="000960AD" w:rsidRDefault="00E80781" w:rsidP="00E80781">
            <w:pPr>
              <w:widowControl/>
              <w:autoSpaceDE/>
              <w:autoSpaceDN/>
              <w:adjustRightInd/>
              <w:jc w:val="both"/>
              <w:rPr>
                <w:rFonts w:ascii="Times New Roman" w:hAnsi="Times New Roman"/>
                <w:color w:val="000000"/>
                <w:sz w:val="24"/>
              </w:rPr>
            </w:pPr>
            <w:r w:rsidRPr="000960AD">
              <w:rPr>
                <w:rFonts w:ascii="Times New Roman" w:hAnsi="Times New Roman"/>
                <w:color w:val="000000"/>
                <w:sz w:val="24"/>
              </w:rPr>
              <w:t xml:space="preserve">Risk-Free Rate              </w:t>
            </w:r>
          </w:p>
        </w:tc>
        <w:tc>
          <w:tcPr>
            <w:tcW w:w="1880" w:type="dxa"/>
            <w:tcBorders>
              <w:top w:val="nil"/>
              <w:left w:val="nil"/>
              <w:bottom w:val="single" w:sz="8" w:space="0" w:color="auto"/>
              <w:right w:val="single" w:sz="8" w:space="0" w:color="auto"/>
            </w:tcBorders>
            <w:noWrap/>
            <w:vAlign w:val="bottom"/>
            <w:hideMark/>
          </w:tcPr>
          <w:p w14:paraId="0E1102A6" w14:textId="77777777" w:rsidR="00E80781" w:rsidRPr="000960AD"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10%</w:t>
            </w:r>
          </w:p>
        </w:tc>
        <w:tc>
          <w:tcPr>
            <w:tcW w:w="1083" w:type="dxa"/>
            <w:tcBorders>
              <w:top w:val="nil"/>
              <w:left w:val="nil"/>
              <w:bottom w:val="single" w:sz="8" w:space="0" w:color="auto"/>
              <w:right w:val="single" w:sz="8" w:space="0" w:color="auto"/>
            </w:tcBorders>
            <w:noWrap/>
            <w:vAlign w:val="bottom"/>
            <w:hideMark/>
          </w:tcPr>
          <w:p w14:paraId="3D9F4311" w14:textId="77777777" w:rsidR="00E80781" w:rsidRPr="000960AD"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 </w:t>
            </w:r>
          </w:p>
        </w:tc>
        <w:tc>
          <w:tcPr>
            <w:tcW w:w="3332" w:type="dxa"/>
            <w:tcBorders>
              <w:top w:val="nil"/>
              <w:left w:val="nil"/>
              <w:bottom w:val="single" w:sz="8" w:space="0" w:color="auto"/>
              <w:right w:val="single" w:sz="8" w:space="0" w:color="auto"/>
            </w:tcBorders>
            <w:noWrap/>
            <w:vAlign w:val="bottom"/>
            <w:hideMark/>
          </w:tcPr>
          <w:p w14:paraId="21DCB5D3" w14:textId="77777777" w:rsidR="00E80781" w:rsidRPr="000960AD"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 </w:t>
            </w:r>
          </w:p>
        </w:tc>
      </w:tr>
      <w:tr w:rsidR="00E80781" w:rsidRPr="000960AD" w14:paraId="0F40AED0" w14:textId="77777777" w:rsidTr="00AD22A2">
        <w:trPr>
          <w:trHeight w:val="330"/>
        </w:trPr>
        <w:tc>
          <w:tcPr>
            <w:tcW w:w="1900" w:type="dxa"/>
            <w:tcBorders>
              <w:top w:val="nil"/>
              <w:left w:val="single" w:sz="8" w:space="0" w:color="auto"/>
              <w:bottom w:val="single" w:sz="8" w:space="0" w:color="auto"/>
              <w:right w:val="single" w:sz="8" w:space="0" w:color="auto"/>
            </w:tcBorders>
            <w:noWrap/>
            <w:vAlign w:val="bottom"/>
            <w:hideMark/>
          </w:tcPr>
          <w:p w14:paraId="23453383" w14:textId="77777777" w:rsidR="00E80781" w:rsidRPr="000960AD" w:rsidRDefault="00E80781" w:rsidP="00E80781">
            <w:pPr>
              <w:widowControl/>
              <w:autoSpaceDE/>
              <w:autoSpaceDN/>
              <w:adjustRightInd/>
              <w:jc w:val="both"/>
              <w:rPr>
                <w:rFonts w:ascii="Times New Roman" w:hAnsi="Times New Roman"/>
                <w:color w:val="000000"/>
                <w:sz w:val="24"/>
              </w:rPr>
            </w:pPr>
            <w:r w:rsidRPr="000960AD">
              <w:rPr>
                <w:rFonts w:ascii="Times New Roman" w:hAnsi="Times New Roman"/>
                <w:color w:val="000000"/>
                <w:sz w:val="24"/>
              </w:rPr>
              <w:t xml:space="preserve">Market Portfolio       </w:t>
            </w:r>
          </w:p>
        </w:tc>
        <w:tc>
          <w:tcPr>
            <w:tcW w:w="1880" w:type="dxa"/>
            <w:tcBorders>
              <w:top w:val="nil"/>
              <w:left w:val="nil"/>
              <w:bottom w:val="single" w:sz="8" w:space="0" w:color="auto"/>
              <w:right w:val="single" w:sz="8" w:space="0" w:color="auto"/>
            </w:tcBorders>
            <w:noWrap/>
            <w:vAlign w:val="bottom"/>
            <w:hideMark/>
          </w:tcPr>
          <w:p w14:paraId="30D5F937" w14:textId="0EF5CF40" w:rsidR="00E80781" w:rsidRPr="000960AD"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 </w:t>
            </w:r>
            <w:r w:rsidR="00C40963" w:rsidRPr="000960AD">
              <w:rPr>
                <w:rFonts w:ascii="Times New Roman" w:hAnsi="Times New Roman"/>
                <w:color w:val="000000"/>
                <w:sz w:val="24"/>
              </w:rPr>
              <w:t>16%</w:t>
            </w:r>
          </w:p>
        </w:tc>
        <w:tc>
          <w:tcPr>
            <w:tcW w:w="1083" w:type="dxa"/>
            <w:tcBorders>
              <w:top w:val="nil"/>
              <w:left w:val="nil"/>
              <w:bottom w:val="single" w:sz="8" w:space="0" w:color="auto"/>
              <w:right w:val="single" w:sz="8" w:space="0" w:color="auto"/>
            </w:tcBorders>
            <w:noWrap/>
            <w:vAlign w:val="bottom"/>
            <w:hideMark/>
          </w:tcPr>
          <w:p w14:paraId="1BC6778B" w14:textId="77777777" w:rsidR="00E80781" w:rsidRPr="000960AD"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20%</w:t>
            </w:r>
          </w:p>
        </w:tc>
        <w:tc>
          <w:tcPr>
            <w:tcW w:w="3332" w:type="dxa"/>
            <w:tcBorders>
              <w:top w:val="nil"/>
              <w:left w:val="nil"/>
              <w:bottom w:val="single" w:sz="8" w:space="0" w:color="auto"/>
              <w:right w:val="single" w:sz="8" w:space="0" w:color="auto"/>
            </w:tcBorders>
            <w:noWrap/>
            <w:vAlign w:val="bottom"/>
            <w:hideMark/>
          </w:tcPr>
          <w:p w14:paraId="27E4CAB1" w14:textId="77777777" w:rsidR="00E80781" w:rsidRPr="000960AD"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 </w:t>
            </w:r>
          </w:p>
        </w:tc>
      </w:tr>
      <w:tr w:rsidR="00E80781" w:rsidRPr="000960AD" w14:paraId="2C4AB279" w14:textId="77777777" w:rsidTr="00AD22A2">
        <w:trPr>
          <w:trHeight w:val="330"/>
        </w:trPr>
        <w:tc>
          <w:tcPr>
            <w:tcW w:w="1900" w:type="dxa"/>
            <w:tcBorders>
              <w:top w:val="nil"/>
              <w:left w:val="single" w:sz="8" w:space="0" w:color="auto"/>
              <w:bottom w:val="single" w:sz="8" w:space="0" w:color="auto"/>
              <w:right w:val="single" w:sz="8" w:space="0" w:color="auto"/>
            </w:tcBorders>
            <w:noWrap/>
            <w:vAlign w:val="bottom"/>
            <w:hideMark/>
          </w:tcPr>
          <w:p w14:paraId="3F7F121E" w14:textId="54B43881" w:rsidR="00E80781" w:rsidRPr="000960AD" w:rsidRDefault="00F16503" w:rsidP="00E80781">
            <w:pPr>
              <w:widowControl/>
              <w:autoSpaceDE/>
              <w:autoSpaceDN/>
              <w:adjustRightInd/>
              <w:jc w:val="both"/>
              <w:rPr>
                <w:rFonts w:ascii="Times New Roman" w:hAnsi="Times New Roman"/>
                <w:color w:val="000000"/>
                <w:sz w:val="24"/>
              </w:rPr>
            </w:pPr>
            <w:r>
              <w:rPr>
                <w:rFonts w:ascii="Times New Roman" w:hAnsi="Times New Roman"/>
                <w:color w:val="000000"/>
                <w:sz w:val="24"/>
              </w:rPr>
              <w:t>PLASTIC MODLING COMPANY</w:t>
            </w:r>
            <w:r w:rsidR="00AD22A2">
              <w:rPr>
                <w:rFonts w:ascii="Times New Roman" w:hAnsi="Times New Roman"/>
                <w:color w:val="000000"/>
                <w:sz w:val="24"/>
              </w:rPr>
              <w:t xml:space="preserve"> </w:t>
            </w:r>
            <w:r w:rsidR="00E80781" w:rsidRPr="000960AD">
              <w:rPr>
                <w:rFonts w:ascii="Times New Roman" w:hAnsi="Times New Roman"/>
                <w:color w:val="000000"/>
                <w:sz w:val="24"/>
              </w:rPr>
              <w:t>CO.</w:t>
            </w:r>
          </w:p>
        </w:tc>
        <w:tc>
          <w:tcPr>
            <w:tcW w:w="1880" w:type="dxa"/>
            <w:tcBorders>
              <w:top w:val="nil"/>
              <w:left w:val="nil"/>
              <w:bottom w:val="single" w:sz="8" w:space="0" w:color="auto"/>
              <w:right w:val="single" w:sz="8" w:space="0" w:color="auto"/>
            </w:tcBorders>
            <w:noWrap/>
            <w:vAlign w:val="bottom"/>
            <w:hideMark/>
          </w:tcPr>
          <w:p w14:paraId="08E6D75A" w14:textId="77777777" w:rsidR="00E80781" w:rsidRPr="000960AD"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 </w:t>
            </w:r>
          </w:p>
        </w:tc>
        <w:tc>
          <w:tcPr>
            <w:tcW w:w="1083" w:type="dxa"/>
            <w:tcBorders>
              <w:top w:val="nil"/>
              <w:left w:val="nil"/>
              <w:bottom w:val="single" w:sz="8" w:space="0" w:color="auto"/>
              <w:right w:val="single" w:sz="8" w:space="0" w:color="auto"/>
            </w:tcBorders>
            <w:noWrap/>
            <w:vAlign w:val="bottom"/>
            <w:hideMark/>
          </w:tcPr>
          <w:p w14:paraId="1AE051FE" w14:textId="77777777" w:rsidR="00E80781" w:rsidRPr="000960AD" w:rsidRDefault="00E80781"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 </w:t>
            </w:r>
          </w:p>
        </w:tc>
        <w:tc>
          <w:tcPr>
            <w:tcW w:w="3332" w:type="dxa"/>
            <w:tcBorders>
              <w:top w:val="nil"/>
              <w:left w:val="nil"/>
              <w:bottom w:val="single" w:sz="8" w:space="0" w:color="auto"/>
              <w:right w:val="single" w:sz="8" w:space="0" w:color="auto"/>
            </w:tcBorders>
            <w:noWrap/>
            <w:vAlign w:val="bottom"/>
            <w:hideMark/>
          </w:tcPr>
          <w:p w14:paraId="2AB63CE4" w14:textId="680E0548" w:rsidR="00E80781" w:rsidRPr="000960AD" w:rsidRDefault="00784D9F" w:rsidP="00E80781">
            <w:pPr>
              <w:widowControl/>
              <w:autoSpaceDE/>
              <w:autoSpaceDN/>
              <w:adjustRightInd/>
              <w:jc w:val="center"/>
              <w:rPr>
                <w:rFonts w:ascii="Times New Roman" w:hAnsi="Times New Roman"/>
                <w:color w:val="000000"/>
                <w:sz w:val="24"/>
              </w:rPr>
            </w:pPr>
            <w:r w:rsidRPr="000960AD">
              <w:rPr>
                <w:rFonts w:ascii="Times New Roman" w:hAnsi="Times New Roman"/>
                <w:color w:val="000000"/>
                <w:sz w:val="24"/>
              </w:rPr>
              <w:t>24</w:t>
            </w:r>
            <w:r w:rsidR="00E80781" w:rsidRPr="000960AD">
              <w:rPr>
                <w:rFonts w:ascii="Times New Roman" w:hAnsi="Times New Roman"/>
                <w:color w:val="000000"/>
                <w:sz w:val="24"/>
              </w:rPr>
              <w:t>%</w:t>
            </w:r>
          </w:p>
        </w:tc>
      </w:tr>
    </w:tbl>
    <w:p w14:paraId="48AD95E9" w14:textId="77777777" w:rsidR="00543999" w:rsidRPr="000960AD" w:rsidRDefault="00543999" w:rsidP="00E80781">
      <w:pPr>
        <w:jc w:val="both"/>
        <w:rPr>
          <w:rFonts w:ascii="Times New Roman" w:hAnsi="Times New Roman"/>
          <w:b/>
          <w:sz w:val="24"/>
        </w:rPr>
      </w:pPr>
    </w:p>
    <w:p w14:paraId="7677A539" w14:textId="392342F0" w:rsidR="00E80781" w:rsidRDefault="003470B8" w:rsidP="00E80781">
      <w:pPr>
        <w:jc w:val="both"/>
        <w:rPr>
          <w:rFonts w:ascii="Times New Roman" w:hAnsi="Times New Roman"/>
          <w:b/>
          <w:sz w:val="24"/>
        </w:rPr>
      </w:pPr>
      <w:r w:rsidRPr="000960AD">
        <w:rPr>
          <w:rFonts w:ascii="Times New Roman" w:hAnsi="Times New Roman"/>
          <w:b/>
          <w:sz w:val="24"/>
        </w:rPr>
        <w:t>Part I</w:t>
      </w:r>
      <w:r w:rsidR="001F1750">
        <w:rPr>
          <w:rFonts w:ascii="Times New Roman" w:hAnsi="Times New Roman"/>
          <w:b/>
          <w:sz w:val="24"/>
        </w:rPr>
        <w:t>I</w:t>
      </w:r>
    </w:p>
    <w:p w14:paraId="45F795C4" w14:textId="268D71A8" w:rsidR="005E3C8B" w:rsidRPr="000960AD" w:rsidRDefault="005E3C8B" w:rsidP="005E3C8B">
      <w:pPr>
        <w:jc w:val="both"/>
        <w:rPr>
          <w:rFonts w:ascii="Times New Roman" w:hAnsi="Times New Roman"/>
          <w:sz w:val="24"/>
        </w:rPr>
      </w:pPr>
      <w:r w:rsidRPr="005E3C8B">
        <w:rPr>
          <w:rFonts w:ascii="Times New Roman" w:hAnsi="Times New Roman"/>
          <w:bCs/>
          <w:sz w:val="24"/>
        </w:rPr>
        <w:t xml:space="preserve">Given </w:t>
      </w:r>
      <w:r w:rsidR="00720E71">
        <w:rPr>
          <w:rFonts w:ascii="Times New Roman" w:hAnsi="Times New Roman"/>
          <w:bCs/>
          <w:sz w:val="24"/>
        </w:rPr>
        <w:t xml:space="preserve">the </w:t>
      </w:r>
      <w:r w:rsidRPr="000960AD">
        <w:rPr>
          <w:rFonts w:ascii="Times New Roman" w:hAnsi="Times New Roman"/>
          <w:sz w:val="24"/>
        </w:rPr>
        <w:t>information in Table</w:t>
      </w:r>
      <w:r>
        <w:rPr>
          <w:rFonts w:ascii="Times New Roman" w:hAnsi="Times New Roman"/>
          <w:sz w:val="24"/>
        </w:rPr>
        <w:t xml:space="preserve">s 1and </w:t>
      </w:r>
      <w:r w:rsidRPr="000960AD">
        <w:rPr>
          <w:rFonts w:ascii="Times New Roman" w:hAnsi="Times New Roman"/>
          <w:sz w:val="24"/>
        </w:rPr>
        <w:t xml:space="preserve">2 for </w:t>
      </w:r>
      <w:r>
        <w:rPr>
          <w:rFonts w:ascii="Times New Roman" w:hAnsi="Times New Roman"/>
          <w:sz w:val="24"/>
        </w:rPr>
        <w:t xml:space="preserve">both </w:t>
      </w:r>
      <w:r w:rsidR="00C35C40">
        <w:rPr>
          <w:rFonts w:ascii="Times New Roman" w:hAnsi="Times New Roman"/>
          <w:sz w:val="24"/>
        </w:rPr>
        <w:t>injection mo</w:t>
      </w:r>
      <w:r w:rsidR="002D3D97">
        <w:rPr>
          <w:rFonts w:ascii="Times New Roman" w:hAnsi="Times New Roman"/>
          <w:sz w:val="24"/>
        </w:rPr>
        <w:t>l</w:t>
      </w:r>
      <w:r w:rsidR="00C35C40">
        <w:rPr>
          <w:rFonts w:ascii="Times New Roman" w:hAnsi="Times New Roman"/>
          <w:sz w:val="24"/>
        </w:rPr>
        <w:t>d</w:t>
      </w:r>
      <w:r w:rsidR="002D3D97">
        <w:rPr>
          <w:rFonts w:ascii="Times New Roman" w:hAnsi="Times New Roman"/>
          <w:sz w:val="24"/>
        </w:rPr>
        <w:t>ing</w:t>
      </w:r>
      <w:r w:rsidR="00AD22A2">
        <w:rPr>
          <w:rFonts w:ascii="Times New Roman" w:hAnsi="Times New Roman"/>
          <w:sz w:val="24"/>
        </w:rPr>
        <w:t>,</w:t>
      </w:r>
      <w:r w:rsidR="00C35C40">
        <w:rPr>
          <w:rFonts w:ascii="Times New Roman" w:hAnsi="Times New Roman"/>
          <w:sz w:val="24"/>
        </w:rPr>
        <w:t xml:space="preserve"> what are the answers </w:t>
      </w:r>
      <w:r w:rsidR="00720E71">
        <w:rPr>
          <w:rFonts w:ascii="Times New Roman" w:hAnsi="Times New Roman"/>
          <w:sz w:val="24"/>
        </w:rPr>
        <w:t>to</w:t>
      </w:r>
      <w:r w:rsidR="00C35C40">
        <w:rPr>
          <w:rFonts w:ascii="Times New Roman" w:hAnsi="Times New Roman"/>
          <w:sz w:val="24"/>
        </w:rPr>
        <w:t xml:space="preserve"> the following questions:</w:t>
      </w:r>
      <w:r w:rsidRPr="000960AD">
        <w:rPr>
          <w:rFonts w:ascii="Times New Roman" w:hAnsi="Times New Roman"/>
          <w:sz w:val="24"/>
        </w:rPr>
        <w:t xml:space="preserve"> </w:t>
      </w:r>
    </w:p>
    <w:p w14:paraId="18CBC15D" w14:textId="46395BEA" w:rsidR="005E3C8B" w:rsidRDefault="005E3C8B" w:rsidP="00E80781">
      <w:pPr>
        <w:jc w:val="both"/>
        <w:rPr>
          <w:rFonts w:ascii="Times New Roman" w:hAnsi="Times New Roman"/>
          <w:b/>
          <w:sz w:val="24"/>
        </w:rPr>
      </w:pPr>
    </w:p>
    <w:p w14:paraId="670A6D99" w14:textId="77777777" w:rsidR="00D41470" w:rsidRPr="000960AD" w:rsidRDefault="00D41470" w:rsidP="00E80781">
      <w:pPr>
        <w:jc w:val="both"/>
        <w:rPr>
          <w:rFonts w:ascii="Times New Roman" w:hAnsi="Times New Roman"/>
          <w:sz w:val="24"/>
        </w:rPr>
      </w:pPr>
      <w:r w:rsidRPr="000960AD">
        <w:rPr>
          <w:rFonts w:ascii="Times New Roman" w:hAnsi="Times New Roman"/>
          <w:sz w:val="24"/>
        </w:rPr>
        <w:t>What is the cost of capital for each investment?</w:t>
      </w:r>
    </w:p>
    <w:p w14:paraId="161B6405" w14:textId="77777777" w:rsidR="00D41470" w:rsidRPr="000960AD" w:rsidRDefault="00535E3D">
      <w:pPr>
        <w:tabs>
          <w:tab w:val="left" w:pos="-1440"/>
        </w:tabs>
        <w:ind w:left="1440" w:hanging="720"/>
        <w:jc w:val="both"/>
        <w:rPr>
          <w:rFonts w:ascii="Times New Roman" w:hAnsi="Times New Roman"/>
          <w:sz w:val="24"/>
        </w:rPr>
      </w:pPr>
      <w:r w:rsidRPr="000960AD">
        <w:rPr>
          <w:rFonts w:ascii="Times New Roman" w:hAnsi="Times New Roman"/>
          <w:sz w:val="24"/>
        </w:rPr>
        <w:t>2</w:t>
      </w:r>
      <w:r w:rsidR="00D41470" w:rsidRPr="000960AD">
        <w:rPr>
          <w:rFonts w:ascii="Times New Roman" w:hAnsi="Times New Roman"/>
          <w:sz w:val="24"/>
        </w:rPr>
        <w:t>.</w:t>
      </w:r>
      <w:r w:rsidR="00D41470" w:rsidRPr="000960AD">
        <w:rPr>
          <w:rFonts w:ascii="Times New Roman" w:hAnsi="Times New Roman"/>
          <w:sz w:val="24"/>
        </w:rPr>
        <w:tab/>
        <w:t>Which of the two investments should be adopted? Why?</w:t>
      </w:r>
    </w:p>
    <w:p w14:paraId="33D8DAB3" w14:textId="734058FE" w:rsidR="00D41470" w:rsidRPr="000960AD" w:rsidRDefault="00D41470">
      <w:pPr>
        <w:pStyle w:val="QuickA"/>
        <w:numPr>
          <w:ilvl w:val="0"/>
          <w:numId w:val="2"/>
        </w:numPr>
        <w:tabs>
          <w:tab w:val="left" w:pos="-1440"/>
          <w:tab w:val="num" w:pos="1440"/>
        </w:tabs>
        <w:jc w:val="both"/>
        <w:rPr>
          <w:rFonts w:ascii="Times New Roman" w:hAnsi="Times New Roman"/>
          <w:sz w:val="24"/>
        </w:rPr>
      </w:pPr>
      <w:r w:rsidRPr="000960AD">
        <w:rPr>
          <w:rFonts w:ascii="Times New Roman" w:hAnsi="Times New Roman"/>
          <w:sz w:val="24"/>
        </w:rPr>
        <w:t xml:space="preserve">What would be the </w:t>
      </w:r>
      <w:r w:rsidR="00AD22A2">
        <w:rPr>
          <w:rFonts w:ascii="Times New Roman" w:hAnsi="Times New Roman"/>
          <w:sz w:val="24"/>
        </w:rPr>
        <w:t>PMC</w:t>
      </w:r>
      <w:r w:rsidR="000B4BBC" w:rsidRPr="000960AD">
        <w:rPr>
          <w:rFonts w:ascii="Times New Roman" w:hAnsi="Times New Roman"/>
          <w:sz w:val="24"/>
        </w:rPr>
        <w:t>’s</w:t>
      </w:r>
      <w:r w:rsidRPr="000960AD">
        <w:rPr>
          <w:rFonts w:ascii="Times New Roman" w:hAnsi="Times New Roman"/>
          <w:sz w:val="24"/>
        </w:rPr>
        <w:t xml:space="preserve"> cost of capital if these two investments are adopted?</w:t>
      </w:r>
    </w:p>
    <w:p w14:paraId="214AD86D" w14:textId="308FB4D0" w:rsidR="00D41470" w:rsidRPr="000960AD" w:rsidRDefault="00535E3D">
      <w:pPr>
        <w:tabs>
          <w:tab w:val="left" w:pos="-1440"/>
        </w:tabs>
        <w:ind w:left="1440" w:hanging="720"/>
        <w:jc w:val="both"/>
        <w:rPr>
          <w:rFonts w:ascii="Times New Roman" w:hAnsi="Times New Roman"/>
          <w:sz w:val="24"/>
        </w:rPr>
      </w:pPr>
      <w:r w:rsidRPr="000960AD">
        <w:rPr>
          <w:rFonts w:ascii="Times New Roman" w:hAnsi="Times New Roman"/>
          <w:sz w:val="24"/>
        </w:rPr>
        <w:t>4</w:t>
      </w:r>
      <w:r w:rsidR="00D41470" w:rsidRPr="000960AD">
        <w:rPr>
          <w:rFonts w:ascii="Times New Roman" w:hAnsi="Times New Roman"/>
          <w:sz w:val="24"/>
        </w:rPr>
        <w:t>.</w:t>
      </w:r>
      <w:r w:rsidR="00D41470" w:rsidRPr="000960AD">
        <w:rPr>
          <w:rFonts w:ascii="Times New Roman" w:hAnsi="Times New Roman"/>
          <w:sz w:val="24"/>
        </w:rPr>
        <w:tab/>
        <w:t>Based on the expected rate of return of each investment</w:t>
      </w:r>
      <w:r w:rsidR="00720E71">
        <w:rPr>
          <w:rFonts w:ascii="Times New Roman" w:hAnsi="Times New Roman"/>
          <w:sz w:val="24"/>
        </w:rPr>
        <w:t>,</w:t>
      </w:r>
      <w:r w:rsidR="00D41470" w:rsidRPr="000960AD">
        <w:rPr>
          <w:rFonts w:ascii="Times New Roman" w:hAnsi="Times New Roman"/>
          <w:sz w:val="24"/>
        </w:rPr>
        <w:t xml:space="preserve"> which investment should be accepted? Why?</w:t>
      </w:r>
    </w:p>
    <w:p w14:paraId="38465E31" w14:textId="77777777" w:rsidR="00D41470" w:rsidRPr="000960AD" w:rsidRDefault="00D41470">
      <w:pPr>
        <w:tabs>
          <w:tab w:val="left" w:pos="-1440"/>
        </w:tabs>
        <w:ind w:left="7920" w:hanging="7920"/>
        <w:jc w:val="both"/>
        <w:rPr>
          <w:rFonts w:ascii="Times New Roman" w:hAnsi="Times New Roman"/>
          <w:sz w:val="24"/>
        </w:rPr>
      </w:pPr>
    </w:p>
    <w:p w14:paraId="7E985DA1" w14:textId="77777777" w:rsidR="00D41470" w:rsidRPr="000960AD" w:rsidRDefault="00D41470">
      <w:pPr>
        <w:jc w:val="both"/>
        <w:rPr>
          <w:rFonts w:ascii="Times New Roman" w:hAnsi="Times New Roman"/>
          <w:sz w:val="24"/>
        </w:rPr>
      </w:pPr>
      <w:r w:rsidRPr="000960AD">
        <w:rPr>
          <w:rFonts w:ascii="Times New Roman" w:hAnsi="Times New Roman"/>
          <w:sz w:val="24"/>
          <w:u w:val="single"/>
        </w:rPr>
        <w:t xml:space="preserve">                                                                 </w:t>
      </w:r>
    </w:p>
    <w:p w14:paraId="364CF5E8" w14:textId="32323534" w:rsidR="00D41470" w:rsidRPr="000960AD" w:rsidRDefault="00D41470">
      <w:pPr>
        <w:jc w:val="both"/>
        <w:rPr>
          <w:rFonts w:ascii="Times New Roman" w:hAnsi="Times New Roman"/>
          <w:sz w:val="24"/>
        </w:rPr>
      </w:pPr>
    </w:p>
    <w:p w14:paraId="4182880B" w14:textId="77777777" w:rsidR="00D41470" w:rsidRPr="000960AD" w:rsidRDefault="00D41470">
      <w:pPr>
        <w:tabs>
          <w:tab w:val="center" w:pos="4680"/>
        </w:tabs>
        <w:jc w:val="both"/>
        <w:rPr>
          <w:rFonts w:ascii="Times New Roman" w:hAnsi="Times New Roman"/>
          <w:sz w:val="24"/>
        </w:rPr>
      </w:pPr>
      <w:r w:rsidRPr="000960AD">
        <w:rPr>
          <w:rFonts w:ascii="Times New Roman" w:hAnsi="Times New Roman"/>
          <w:sz w:val="24"/>
        </w:rPr>
        <w:tab/>
      </w:r>
    </w:p>
    <w:sectPr w:rsidR="00D41470" w:rsidRPr="000960AD">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BA20" w14:textId="77777777" w:rsidR="000D4F98" w:rsidRDefault="000D4F98">
      <w:r>
        <w:separator/>
      </w:r>
    </w:p>
  </w:endnote>
  <w:endnote w:type="continuationSeparator" w:id="0">
    <w:p w14:paraId="0944003A" w14:textId="77777777" w:rsidR="000D4F98" w:rsidRDefault="000D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15FF" w14:textId="77777777" w:rsidR="00D75068" w:rsidRDefault="00D75068">
    <w:pPr>
      <w:spacing w:line="240" w:lineRule="exact"/>
    </w:pPr>
  </w:p>
  <w:p w14:paraId="50E0B7C5" w14:textId="77777777" w:rsidR="00D75068" w:rsidRDefault="00D7506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F7650">
      <w:rPr>
        <w:noProof/>
        <w:sz w:val="24"/>
      </w:rPr>
      <w:t>3</w:t>
    </w:r>
    <w:r>
      <w:rPr>
        <w:sz w:val="24"/>
      </w:rPr>
      <w:fldChar w:fldCharType="end"/>
    </w:r>
  </w:p>
  <w:p w14:paraId="57F6DC21" w14:textId="77777777" w:rsidR="00D75068" w:rsidRDefault="00D7506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5543" w14:textId="77777777" w:rsidR="000D4F98" w:rsidRDefault="000D4F98">
      <w:r>
        <w:separator/>
      </w:r>
    </w:p>
  </w:footnote>
  <w:footnote w:type="continuationSeparator" w:id="0">
    <w:p w14:paraId="5B9238D7" w14:textId="77777777" w:rsidR="000D4F98" w:rsidRDefault="000D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2" w15:restartNumberingAfterBreak="0">
    <w:nsid w:val="235230C2"/>
    <w:multiLevelType w:val="hybridMultilevel"/>
    <w:tmpl w:val="64C2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F1C1C"/>
    <w:multiLevelType w:val="multilevel"/>
    <w:tmpl w:val="3A9E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D70F1"/>
    <w:multiLevelType w:val="hybridMultilevel"/>
    <w:tmpl w:val="74FA3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E157B"/>
    <w:multiLevelType w:val="hybridMultilevel"/>
    <w:tmpl w:val="99C6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78119">
    <w:abstractNumId w:val="0"/>
    <w:lvlOverride w:ilvl="0">
      <w:startOverride w:val="1"/>
      <w:lvl w:ilvl="0">
        <w:start w:val="1"/>
        <w:numFmt w:val="decimal"/>
        <w:pStyle w:val="QuickA"/>
        <w:lvlText w:val="%1."/>
        <w:lvlJc w:val="left"/>
      </w:lvl>
    </w:lvlOverride>
  </w:num>
  <w:num w:numId="2" w16cid:durableId="2071685611">
    <w:abstractNumId w:val="0"/>
    <w:lvlOverride w:ilvl="0">
      <w:startOverride w:val="3"/>
      <w:lvl w:ilvl="0">
        <w:start w:val="3"/>
        <w:numFmt w:val="decimal"/>
        <w:pStyle w:val="QuickA"/>
        <w:lvlText w:val="%1."/>
        <w:lvlJc w:val="left"/>
      </w:lvl>
    </w:lvlOverride>
  </w:num>
  <w:num w:numId="3" w16cid:durableId="1035428706">
    <w:abstractNumId w:val="0"/>
    <w:lvlOverride w:ilvl="0">
      <w:startOverride w:val="5"/>
      <w:lvl w:ilvl="0">
        <w:start w:val="5"/>
        <w:numFmt w:val="decimal"/>
        <w:pStyle w:val="QuickA"/>
        <w:lvlText w:val="%1."/>
        <w:lvlJc w:val="left"/>
      </w:lvl>
    </w:lvlOverride>
  </w:num>
  <w:num w:numId="4" w16cid:durableId="1562710342">
    <w:abstractNumId w:val="1"/>
    <w:lvlOverride w:ilvl="0">
      <w:startOverride w:val="1"/>
      <w:lvl w:ilvl="0">
        <w:start w:val="1"/>
        <w:numFmt w:val="decimal"/>
        <w:pStyle w:val="Quick1"/>
        <w:lvlText w:val="%1."/>
        <w:lvlJc w:val="left"/>
      </w:lvl>
    </w:lvlOverride>
  </w:num>
  <w:num w:numId="5" w16cid:durableId="827286201">
    <w:abstractNumId w:val="1"/>
    <w:lvlOverride w:ilvl="0">
      <w:startOverride w:val="3"/>
      <w:lvl w:ilvl="0">
        <w:start w:val="3"/>
        <w:numFmt w:val="decimal"/>
        <w:pStyle w:val="Quick1"/>
        <w:lvlText w:val="%1."/>
        <w:lvlJc w:val="left"/>
      </w:lvl>
    </w:lvlOverride>
  </w:num>
  <w:num w:numId="6" w16cid:durableId="433403560">
    <w:abstractNumId w:val="3"/>
  </w:num>
  <w:num w:numId="7" w16cid:durableId="1401948617">
    <w:abstractNumId w:val="5"/>
  </w:num>
  <w:num w:numId="8" w16cid:durableId="1067921502">
    <w:abstractNumId w:val="4"/>
  </w:num>
  <w:num w:numId="9" w16cid:durableId="192191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E3D"/>
    <w:rsid w:val="00010D67"/>
    <w:rsid w:val="00057398"/>
    <w:rsid w:val="000960AD"/>
    <w:rsid w:val="000B4BBC"/>
    <w:rsid w:val="000C1C16"/>
    <w:rsid w:val="000C52EE"/>
    <w:rsid w:val="000D271A"/>
    <w:rsid w:val="000D27CF"/>
    <w:rsid w:val="000D4F98"/>
    <w:rsid w:val="000D5D36"/>
    <w:rsid w:val="00130D2B"/>
    <w:rsid w:val="00142413"/>
    <w:rsid w:val="001D4DF5"/>
    <w:rsid w:val="001F1750"/>
    <w:rsid w:val="00214674"/>
    <w:rsid w:val="00214FBE"/>
    <w:rsid w:val="002601E1"/>
    <w:rsid w:val="00266D75"/>
    <w:rsid w:val="002A3FC0"/>
    <w:rsid w:val="002C7FD7"/>
    <w:rsid w:val="002D3D97"/>
    <w:rsid w:val="002F7650"/>
    <w:rsid w:val="003436F2"/>
    <w:rsid w:val="003470B8"/>
    <w:rsid w:val="0035502F"/>
    <w:rsid w:val="00394926"/>
    <w:rsid w:val="004A3D8D"/>
    <w:rsid w:val="004B0012"/>
    <w:rsid w:val="004E2A95"/>
    <w:rsid w:val="00511CAD"/>
    <w:rsid w:val="00535E3D"/>
    <w:rsid w:val="00543999"/>
    <w:rsid w:val="00595FE8"/>
    <w:rsid w:val="005A226D"/>
    <w:rsid w:val="005E3C8B"/>
    <w:rsid w:val="005F6BC4"/>
    <w:rsid w:val="006C7DA2"/>
    <w:rsid w:val="006F41B0"/>
    <w:rsid w:val="006F745B"/>
    <w:rsid w:val="00720E71"/>
    <w:rsid w:val="00761737"/>
    <w:rsid w:val="00784D9F"/>
    <w:rsid w:val="00790BCE"/>
    <w:rsid w:val="00803A16"/>
    <w:rsid w:val="0081387A"/>
    <w:rsid w:val="00835EF9"/>
    <w:rsid w:val="008A34AD"/>
    <w:rsid w:val="008B4AEC"/>
    <w:rsid w:val="009C57D5"/>
    <w:rsid w:val="009D25DC"/>
    <w:rsid w:val="009F2EAA"/>
    <w:rsid w:val="009F735E"/>
    <w:rsid w:val="00AA14D3"/>
    <w:rsid w:val="00AD22A2"/>
    <w:rsid w:val="00AF1A1A"/>
    <w:rsid w:val="00AF3D0C"/>
    <w:rsid w:val="00B16553"/>
    <w:rsid w:val="00B176EA"/>
    <w:rsid w:val="00B629A9"/>
    <w:rsid w:val="00B84F2C"/>
    <w:rsid w:val="00BB2B3D"/>
    <w:rsid w:val="00C35C40"/>
    <w:rsid w:val="00C36F8F"/>
    <w:rsid w:val="00C40963"/>
    <w:rsid w:val="00C52B8C"/>
    <w:rsid w:val="00C9199E"/>
    <w:rsid w:val="00CE68F3"/>
    <w:rsid w:val="00D056BE"/>
    <w:rsid w:val="00D069D8"/>
    <w:rsid w:val="00D41470"/>
    <w:rsid w:val="00D53C04"/>
    <w:rsid w:val="00D75068"/>
    <w:rsid w:val="00D92C74"/>
    <w:rsid w:val="00DD611F"/>
    <w:rsid w:val="00E06B71"/>
    <w:rsid w:val="00E32465"/>
    <w:rsid w:val="00E67629"/>
    <w:rsid w:val="00E80781"/>
    <w:rsid w:val="00F16503"/>
    <w:rsid w:val="00F66911"/>
    <w:rsid w:val="00F91270"/>
    <w:rsid w:val="00FE4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FCF18"/>
  <w15:chartTrackingRefBased/>
  <w15:docId w15:val="{459E6C64-1313-430D-8040-6986C120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3"/>
      </w:numPr>
      <w:ind w:left="1440" w:hanging="720"/>
    </w:pPr>
  </w:style>
  <w:style w:type="paragraph" w:customStyle="1" w:styleId="Quick1">
    <w:name w:val="Quick 1."/>
    <w:basedOn w:val="Normal"/>
    <w:pPr>
      <w:numPr>
        <w:numId w:val="5"/>
      </w:numPr>
      <w:ind w:left="720" w:hanging="720"/>
    </w:pPr>
  </w:style>
  <w:style w:type="paragraph" w:styleId="BalloonText">
    <w:name w:val="Balloon Text"/>
    <w:basedOn w:val="Normal"/>
    <w:semiHidden/>
    <w:rsid w:val="000B4BBC"/>
    <w:rPr>
      <w:rFonts w:ascii="Tahoma" w:hAnsi="Tahoma" w:cs="Tahoma"/>
      <w:sz w:val="16"/>
      <w:szCs w:val="16"/>
    </w:rPr>
  </w:style>
  <w:style w:type="paragraph" w:styleId="Header">
    <w:name w:val="header"/>
    <w:basedOn w:val="Normal"/>
    <w:link w:val="HeaderChar"/>
    <w:uiPriority w:val="99"/>
    <w:rsid w:val="00543999"/>
    <w:pPr>
      <w:tabs>
        <w:tab w:val="center" w:pos="4680"/>
        <w:tab w:val="right" w:pos="9360"/>
      </w:tabs>
    </w:pPr>
  </w:style>
  <w:style w:type="character" w:customStyle="1" w:styleId="HeaderChar">
    <w:name w:val="Header Char"/>
    <w:basedOn w:val="DefaultParagraphFont"/>
    <w:link w:val="Header"/>
    <w:uiPriority w:val="99"/>
    <w:rsid w:val="00543999"/>
    <w:rPr>
      <w:rFonts w:ascii="Courier" w:hAnsi="Courier"/>
      <w:szCs w:val="24"/>
    </w:rPr>
  </w:style>
  <w:style w:type="paragraph" w:styleId="Footer">
    <w:name w:val="footer"/>
    <w:basedOn w:val="Normal"/>
    <w:link w:val="FooterChar"/>
    <w:uiPriority w:val="99"/>
    <w:rsid w:val="00543999"/>
    <w:pPr>
      <w:tabs>
        <w:tab w:val="center" w:pos="4680"/>
        <w:tab w:val="right" w:pos="9360"/>
      </w:tabs>
    </w:pPr>
  </w:style>
  <w:style w:type="character" w:customStyle="1" w:styleId="FooterChar">
    <w:name w:val="Footer Char"/>
    <w:basedOn w:val="DefaultParagraphFont"/>
    <w:link w:val="Footer"/>
    <w:uiPriority w:val="99"/>
    <w:rsid w:val="00543999"/>
    <w:rPr>
      <w:rFonts w:ascii="Courier" w:hAnsi="Courier"/>
      <w:szCs w:val="24"/>
    </w:rPr>
  </w:style>
  <w:style w:type="character" w:styleId="Hyperlink">
    <w:name w:val="Hyperlink"/>
    <w:basedOn w:val="DefaultParagraphFont"/>
    <w:uiPriority w:val="99"/>
    <w:unhideWhenUsed/>
    <w:rsid w:val="00B84F2C"/>
    <w:rPr>
      <w:color w:val="0000FF"/>
      <w:u w:val="single"/>
    </w:rPr>
  </w:style>
  <w:style w:type="character" w:styleId="Strong">
    <w:name w:val="Strong"/>
    <w:basedOn w:val="DefaultParagraphFont"/>
    <w:uiPriority w:val="22"/>
    <w:qFormat/>
    <w:rsid w:val="002601E1"/>
    <w:rPr>
      <w:b/>
      <w:bCs/>
    </w:rPr>
  </w:style>
  <w:style w:type="paragraph" w:styleId="ListParagraph">
    <w:name w:val="List Paragraph"/>
    <w:basedOn w:val="Normal"/>
    <w:uiPriority w:val="34"/>
    <w:qFormat/>
    <w:rsid w:val="000C5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237">
      <w:bodyDiv w:val="1"/>
      <w:marLeft w:val="0"/>
      <w:marRight w:val="0"/>
      <w:marTop w:val="0"/>
      <w:marBottom w:val="0"/>
      <w:divBdr>
        <w:top w:val="none" w:sz="0" w:space="0" w:color="auto"/>
        <w:left w:val="none" w:sz="0" w:space="0" w:color="auto"/>
        <w:bottom w:val="none" w:sz="0" w:space="0" w:color="auto"/>
        <w:right w:val="none" w:sz="0" w:space="0" w:color="auto"/>
      </w:divBdr>
    </w:div>
    <w:div w:id="57940962">
      <w:bodyDiv w:val="1"/>
      <w:marLeft w:val="0"/>
      <w:marRight w:val="0"/>
      <w:marTop w:val="0"/>
      <w:marBottom w:val="0"/>
      <w:divBdr>
        <w:top w:val="none" w:sz="0" w:space="0" w:color="auto"/>
        <w:left w:val="none" w:sz="0" w:space="0" w:color="auto"/>
        <w:bottom w:val="none" w:sz="0" w:space="0" w:color="auto"/>
        <w:right w:val="none" w:sz="0" w:space="0" w:color="auto"/>
      </w:divBdr>
      <w:divsChild>
        <w:div w:id="526405991">
          <w:marLeft w:val="0"/>
          <w:marRight w:val="0"/>
          <w:marTop w:val="0"/>
          <w:marBottom w:val="0"/>
          <w:divBdr>
            <w:top w:val="none" w:sz="0" w:space="0" w:color="auto"/>
            <w:left w:val="none" w:sz="0" w:space="0" w:color="auto"/>
            <w:bottom w:val="none" w:sz="0" w:space="0" w:color="auto"/>
            <w:right w:val="none" w:sz="0" w:space="0" w:color="auto"/>
          </w:divBdr>
        </w:div>
      </w:divsChild>
    </w:div>
    <w:div w:id="158347099">
      <w:bodyDiv w:val="1"/>
      <w:marLeft w:val="0"/>
      <w:marRight w:val="0"/>
      <w:marTop w:val="0"/>
      <w:marBottom w:val="0"/>
      <w:divBdr>
        <w:top w:val="none" w:sz="0" w:space="0" w:color="auto"/>
        <w:left w:val="none" w:sz="0" w:space="0" w:color="auto"/>
        <w:bottom w:val="none" w:sz="0" w:space="0" w:color="auto"/>
        <w:right w:val="none" w:sz="0" w:space="0" w:color="auto"/>
      </w:divBdr>
    </w:div>
    <w:div w:id="570508520">
      <w:bodyDiv w:val="1"/>
      <w:marLeft w:val="0"/>
      <w:marRight w:val="0"/>
      <w:marTop w:val="0"/>
      <w:marBottom w:val="0"/>
      <w:divBdr>
        <w:top w:val="none" w:sz="0" w:space="0" w:color="auto"/>
        <w:left w:val="none" w:sz="0" w:space="0" w:color="auto"/>
        <w:bottom w:val="none" w:sz="0" w:space="0" w:color="auto"/>
        <w:right w:val="none" w:sz="0" w:space="0" w:color="auto"/>
      </w:divBdr>
    </w:div>
    <w:div w:id="611476432">
      <w:bodyDiv w:val="1"/>
      <w:marLeft w:val="0"/>
      <w:marRight w:val="0"/>
      <w:marTop w:val="0"/>
      <w:marBottom w:val="0"/>
      <w:divBdr>
        <w:top w:val="none" w:sz="0" w:space="0" w:color="auto"/>
        <w:left w:val="none" w:sz="0" w:space="0" w:color="auto"/>
        <w:bottom w:val="none" w:sz="0" w:space="0" w:color="auto"/>
        <w:right w:val="none" w:sz="0" w:space="0" w:color="auto"/>
      </w:divBdr>
    </w:div>
    <w:div w:id="662853696">
      <w:bodyDiv w:val="1"/>
      <w:marLeft w:val="0"/>
      <w:marRight w:val="0"/>
      <w:marTop w:val="0"/>
      <w:marBottom w:val="0"/>
      <w:divBdr>
        <w:top w:val="none" w:sz="0" w:space="0" w:color="auto"/>
        <w:left w:val="none" w:sz="0" w:space="0" w:color="auto"/>
        <w:bottom w:val="none" w:sz="0" w:space="0" w:color="auto"/>
        <w:right w:val="none" w:sz="0" w:space="0" w:color="auto"/>
      </w:divBdr>
    </w:div>
    <w:div w:id="755514300">
      <w:bodyDiv w:val="1"/>
      <w:marLeft w:val="0"/>
      <w:marRight w:val="0"/>
      <w:marTop w:val="0"/>
      <w:marBottom w:val="0"/>
      <w:divBdr>
        <w:top w:val="none" w:sz="0" w:space="0" w:color="auto"/>
        <w:left w:val="none" w:sz="0" w:space="0" w:color="auto"/>
        <w:bottom w:val="none" w:sz="0" w:space="0" w:color="auto"/>
        <w:right w:val="none" w:sz="0" w:space="0" w:color="auto"/>
      </w:divBdr>
    </w:div>
    <w:div w:id="851534849">
      <w:bodyDiv w:val="1"/>
      <w:marLeft w:val="0"/>
      <w:marRight w:val="0"/>
      <w:marTop w:val="0"/>
      <w:marBottom w:val="0"/>
      <w:divBdr>
        <w:top w:val="none" w:sz="0" w:space="0" w:color="auto"/>
        <w:left w:val="none" w:sz="0" w:space="0" w:color="auto"/>
        <w:bottom w:val="none" w:sz="0" w:space="0" w:color="auto"/>
        <w:right w:val="none" w:sz="0" w:space="0" w:color="auto"/>
      </w:divBdr>
      <w:divsChild>
        <w:div w:id="1050037251">
          <w:marLeft w:val="0"/>
          <w:marRight w:val="0"/>
          <w:marTop w:val="0"/>
          <w:marBottom w:val="0"/>
          <w:divBdr>
            <w:top w:val="none" w:sz="0" w:space="0" w:color="auto"/>
            <w:left w:val="none" w:sz="0" w:space="0" w:color="auto"/>
            <w:bottom w:val="none" w:sz="0" w:space="0" w:color="auto"/>
            <w:right w:val="none" w:sz="0" w:space="0" w:color="auto"/>
          </w:divBdr>
        </w:div>
      </w:divsChild>
    </w:div>
    <w:div w:id="1178351487">
      <w:bodyDiv w:val="1"/>
      <w:marLeft w:val="0"/>
      <w:marRight w:val="0"/>
      <w:marTop w:val="0"/>
      <w:marBottom w:val="0"/>
      <w:divBdr>
        <w:top w:val="none" w:sz="0" w:space="0" w:color="auto"/>
        <w:left w:val="none" w:sz="0" w:space="0" w:color="auto"/>
        <w:bottom w:val="none" w:sz="0" w:space="0" w:color="auto"/>
        <w:right w:val="none" w:sz="0" w:space="0" w:color="auto"/>
      </w:divBdr>
    </w:div>
    <w:div w:id="1333029460">
      <w:bodyDiv w:val="1"/>
      <w:marLeft w:val="0"/>
      <w:marRight w:val="0"/>
      <w:marTop w:val="0"/>
      <w:marBottom w:val="0"/>
      <w:divBdr>
        <w:top w:val="none" w:sz="0" w:space="0" w:color="auto"/>
        <w:left w:val="none" w:sz="0" w:space="0" w:color="auto"/>
        <w:bottom w:val="none" w:sz="0" w:space="0" w:color="auto"/>
        <w:right w:val="none" w:sz="0" w:space="0" w:color="auto"/>
      </w:divBdr>
    </w:div>
    <w:div w:id="1553733850">
      <w:bodyDiv w:val="1"/>
      <w:marLeft w:val="0"/>
      <w:marRight w:val="0"/>
      <w:marTop w:val="0"/>
      <w:marBottom w:val="0"/>
      <w:divBdr>
        <w:top w:val="none" w:sz="0" w:space="0" w:color="auto"/>
        <w:left w:val="none" w:sz="0" w:space="0" w:color="auto"/>
        <w:bottom w:val="none" w:sz="0" w:space="0" w:color="auto"/>
        <w:right w:val="none" w:sz="0" w:space="0" w:color="auto"/>
      </w:divBdr>
    </w:div>
    <w:div w:id="1635527472">
      <w:bodyDiv w:val="1"/>
      <w:marLeft w:val="0"/>
      <w:marRight w:val="0"/>
      <w:marTop w:val="0"/>
      <w:marBottom w:val="0"/>
      <w:divBdr>
        <w:top w:val="none" w:sz="0" w:space="0" w:color="auto"/>
        <w:left w:val="none" w:sz="0" w:space="0" w:color="auto"/>
        <w:bottom w:val="none" w:sz="0" w:space="0" w:color="auto"/>
        <w:right w:val="none" w:sz="0" w:space="0" w:color="auto"/>
      </w:divBdr>
    </w:div>
    <w:div w:id="19053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2885</Characters>
  <Application>Microsoft Office Word</Application>
  <DocSecurity>0</DocSecurity>
  <Lines>120</Lines>
  <Paragraphs>94</Paragraphs>
  <ScaleCrop>false</ScaleCrop>
  <HeadingPairs>
    <vt:vector size="2" baseType="variant">
      <vt:variant>
        <vt:lpstr>Title</vt:lpstr>
      </vt:variant>
      <vt:variant>
        <vt:i4>1</vt:i4>
      </vt:variant>
    </vt:vector>
  </HeadingPairs>
  <TitlesOfParts>
    <vt:vector size="1" baseType="lpstr">
      <vt:lpstr/>
    </vt:vector>
  </TitlesOfParts>
  <Company>KFS</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JKASH</dc:creator>
  <cp:keywords/>
  <cp:lastModifiedBy>javad kashefi</cp:lastModifiedBy>
  <cp:revision>2</cp:revision>
  <cp:lastPrinted>2006-11-14T16:45:00Z</cp:lastPrinted>
  <dcterms:created xsi:type="dcterms:W3CDTF">2026-03-14T15:26:00Z</dcterms:created>
  <dcterms:modified xsi:type="dcterms:W3CDTF">2026-03-14T15:26:00Z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cb2e876b-3336-4b36-8927-6cdc569bac08</vt:lpwstr>
  </property>
</Properties>
</file>