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A5E2" w14:textId="39915FA9" w:rsidR="006A5733" w:rsidRPr="006A5733" w:rsidRDefault="006A5733" w:rsidP="006A5733">
      <w:pPr>
        <w:pStyle w:val="NoSpacing"/>
        <w:rPr>
          <w:rFonts w:ascii="Times New Roman" w:hAnsi="Times New Roman"/>
          <w:sz w:val="24"/>
          <w:szCs w:val="24"/>
        </w:rPr>
      </w:pPr>
      <w:r w:rsidRPr="006A5733">
        <w:rPr>
          <w:rFonts w:ascii="Times New Roman" w:hAnsi="Times New Roman"/>
          <w:sz w:val="24"/>
          <w:szCs w:val="24"/>
        </w:rPr>
        <w:t xml:space="preserve">Valuation </w:t>
      </w:r>
      <w:r w:rsidR="00D168CD">
        <w:rPr>
          <w:rFonts w:ascii="Times New Roman" w:hAnsi="Times New Roman"/>
          <w:sz w:val="24"/>
          <w:szCs w:val="24"/>
        </w:rPr>
        <w:t xml:space="preserve">APV, WACC, and Target Capital Structure with </w:t>
      </w:r>
      <w:r w:rsidR="00D168CD" w:rsidRPr="006A5733">
        <w:rPr>
          <w:rFonts w:ascii="Times New Roman" w:hAnsi="Times New Roman"/>
          <w:sz w:val="24"/>
          <w:szCs w:val="24"/>
        </w:rPr>
        <w:t>Constant Free Cash Flows</w:t>
      </w:r>
      <w:r w:rsidR="00D168CD">
        <w:rPr>
          <w:rFonts w:ascii="Times New Roman" w:hAnsi="Times New Roman"/>
          <w:sz w:val="24"/>
          <w:szCs w:val="24"/>
        </w:rPr>
        <w:t xml:space="preserve"> </w:t>
      </w:r>
    </w:p>
    <w:p w14:paraId="17E00495" w14:textId="77777777" w:rsidR="00704D1B" w:rsidRDefault="00704D1B" w:rsidP="006A5733">
      <w:pPr>
        <w:pStyle w:val="NoSpacing"/>
        <w:rPr>
          <w:rFonts w:ascii="Times New Roman" w:hAnsi="Times New Roman"/>
          <w:sz w:val="24"/>
          <w:szCs w:val="24"/>
        </w:rPr>
      </w:pPr>
    </w:p>
    <w:p w14:paraId="0F423AED" w14:textId="1BF2A440" w:rsidR="006A5733" w:rsidRPr="006A5733" w:rsidRDefault="006A5733" w:rsidP="006A5733">
      <w:pPr>
        <w:pStyle w:val="NoSpacing"/>
        <w:rPr>
          <w:rFonts w:ascii="Times New Roman" w:hAnsi="Times New Roman"/>
          <w:sz w:val="24"/>
          <w:szCs w:val="24"/>
        </w:rPr>
      </w:pPr>
      <w:r w:rsidRPr="006A5733">
        <w:rPr>
          <w:rFonts w:ascii="Times New Roman" w:hAnsi="Times New Roman"/>
          <w:sz w:val="24"/>
          <w:szCs w:val="24"/>
        </w:rPr>
        <w:t xml:space="preserve">Consider a company with </w:t>
      </w:r>
      <w:r w:rsidR="002C023D">
        <w:rPr>
          <w:rFonts w:ascii="Times New Roman" w:hAnsi="Times New Roman"/>
          <w:sz w:val="24"/>
          <w:szCs w:val="24"/>
        </w:rPr>
        <w:t xml:space="preserve">invested </w:t>
      </w:r>
      <w:r w:rsidRPr="006A5733">
        <w:rPr>
          <w:rFonts w:ascii="Times New Roman" w:hAnsi="Times New Roman"/>
          <w:sz w:val="24"/>
          <w:szCs w:val="24"/>
        </w:rPr>
        <w:t xml:space="preserve">capital of </w:t>
      </w:r>
      <w:r w:rsidR="002C023D">
        <w:rPr>
          <w:rFonts w:ascii="Times New Roman" w:hAnsi="Times New Roman"/>
          <w:sz w:val="24"/>
          <w:szCs w:val="24"/>
        </w:rPr>
        <w:t>$</w:t>
      </w:r>
      <w:r w:rsidR="005A17EC">
        <w:rPr>
          <w:rFonts w:ascii="Times New Roman" w:hAnsi="Times New Roman"/>
          <w:sz w:val="24"/>
          <w:szCs w:val="24"/>
        </w:rPr>
        <w:t>300</w:t>
      </w:r>
      <w:r w:rsidR="00B524E9">
        <w:rPr>
          <w:rFonts w:ascii="Times New Roman" w:hAnsi="Times New Roman"/>
          <w:sz w:val="24"/>
          <w:szCs w:val="24"/>
        </w:rPr>
        <w:t>0</w:t>
      </w:r>
      <w:r w:rsidRPr="006A5733">
        <w:rPr>
          <w:rFonts w:ascii="Times New Roman" w:hAnsi="Times New Roman"/>
          <w:sz w:val="24"/>
          <w:szCs w:val="24"/>
        </w:rPr>
        <w:t xml:space="preserve">, earnings before interest and taxes (EBIT) of </w:t>
      </w:r>
      <w:r w:rsidR="002C023D">
        <w:rPr>
          <w:rFonts w:ascii="Times New Roman" w:hAnsi="Times New Roman"/>
          <w:sz w:val="24"/>
          <w:szCs w:val="24"/>
        </w:rPr>
        <w:t>$</w:t>
      </w:r>
      <w:r w:rsidRPr="006A5733">
        <w:rPr>
          <w:rFonts w:ascii="Times New Roman" w:hAnsi="Times New Roman"/>
          <w:sz w:val="24"/>
          <w:szCs w:val="24"/>
        </w:rPr>
        <w:t>6</w:t>
      </w:r>
      <w:r w:rsidR="0058794C">
        <w:rPr>
          <w:rFonts w:ascii="Times New Roman" w:hAnsi="Times New Roman"/>
          <w:sz w:val="24"/>
          <w:szCs w:val="24"/>
        </w:rPr>
        <w:t>00</w:t>
      </w:r>
      <w:r w:rsidRPr="006A5733">
        <w:rPr>
          <w:rFonts w:ascii="Times New Roman" w:hAnsi="Times New Roman"/>
          <w:sz w:val="24"/>
          <w:szCs w:val="24"/>
        </w:rPr>
        <w:t>, and beta (</w:t>
      </w:r>
      <w:r w:rsidRPr="006A5733">
        <w:rPr>
          <w:rFonts w:ascii="Times New Roman" w:hAnsi="Times New Roman"/>
          <w:i/>
          <w:iCs/>
          <w:sz w:val="24"/>
          <w:szCs w:val="24"/>
        </w:rPr>
        <w:t>β</w:t>
      </w:r>
      <w:r w:rsidRPr="006A5733">
        <w:rPr>
          <w:rFonts w:ascii="Times New Roman" w:hAnsi="Times New Roman"/>
          <w:sz w:val="24"/>
          <w:szCs w:val="24"/>
          <w:vertAlign w:val="subscript"/>
        </w:rPr>
        <w:t>u</w:t>
      </w:r>
      <w:r w:rsidRPr="006A5733">
        <w:rPr>
          <w:rFonts w:ascii="Times New Roman" w:hAnsi="Times New Roman"/>
          <w:sz w:val="24"/>
          <w:szCs w:val="24"/>
        </w:rPr>
        <w:t>) of the assets = 1.00; initial debt (D)</w:t>
      </w:r>
      <w:r w:rsidR="00704D1B">
        <w:rPr>
          <w:rFonts w:ascii="Times New Roman" w:hAnsi="Times New Roman"/>
          <w:sz w:val="24"/>
          <w:szCs w:val="24"/>
        </w:rPr>
        <w:t>,</w:t>
      </w:r>
      <w:r w:rsidRPr="006A5733">
        <w:rPr>
          <w:rFonts w:ascii="Times New Roman" w:hAnsi="Times New Roman"/>
          <w:sz w:val="24"/>
          <w:szCs w:val="24"/>
        </w:rPr>
        <w:t xml:space="preserve"> with a beta (</w:t>
      </w:r>
      <w:r w:rsidRPr="006A5733">
        <w:rPr>
          <w:rFonts w:ascii="Times New Roman" w:hAnsi="Times New Roman"/>
          <w:i/>
          <w:iCs/>
          <w:sz w:val="24"/>
          <w:szCs w:val="24"/>
        </w:rPr>
        <w:t>β</w:t>
      </w:r>
      <w:r w:rsidRPr="006A5733">
        <w:rPr>
          <w:rFonts w:ascii="Times New Roman" w:hAnsi="Times New Roman"/>
          <w:sz w:val="24"/>
          <w:szCs w:val="24"/>
          <w:vertAlign w:val="subscript"/>
        </w:rPr>
        <w:t>d</w:t>
      </w:r>
      <w:r w:rsidRPr="006A5733">
        <w:rPr>
          <w:rFonts w:ascii="Times New Roman" w:hAnsi="Times New Roman"/>
          <w:sz w:val="24"/>
          <w:szCs w:val="24"/>
        </w:rPr>
        <w:t>) of 0.3</w:t>
      </w:r>
      <w:r w:rsidR="00704D1B">
        <w:rPr>
          <w:rFonts w:ascii="Times New Roman" w:hAnsi="Times New Roman"/>
          <w:sz w:val="24"/>
          <w:szCs w:val="24"/>
        </w:rPr>
        <w:t>,</w:t>
      </w:r>
      <w:r w:rsidRPr="006A5733">
        <w:rPr>
          <w:rFonts w:ascii="Times New Roman" w:hAnsi="Times New Roman"/>
          <w:sz w:val="24"/>
          <w:szCs w:val="24"/>
        </w:rPr>
        <w:t xml:space="preserve"> is set at </w:t>
      </w:r>
      <w:r w:rsidR="002C023D">
        <w:rPr>
          <w:rFonts w:ascii="Times New Roman" w:hAnsi="Times New Roman"/>
          <w:sz w:val="24"/>
          <w:szCs w:val="24"/>
        </w:rPr>
        <w:t>$</w:t>
      </w:r>
      <w:r w:rsidR="0058794C">
        <w:rPr>
          <w:rFonts w:ascii="Times New Roman" w:hAnsi="Times New Roman"/>
          <w:sz w:val="24"/>
          <w:szCs w:val="24"/>
        </w:rPr>
        <w:t>200</w:t>
      </w:r>
      <w:r w:rsidRPr="006A5733">
        <w:rPr>
          <w:rFonts w:ascii="Times New Roman" w:hAnsi="Times New Roman"/>
          <w:sz w:val="24"/>
          <w:szCs w:val="24"/>
        </w:rPr>
        <w:t>, and the</w:t>
      </w:r>
      <w:r w:rsidR="00704D1B">
        <w:rPr>
          <w:rFonts w:ascii="Times New Roman" w:hAnsi="Times New Roman"/>
          <w:sz w:val="24"/>
          <w:szCs w:val="24"/>
        </w:rPr>
        <w:t xml:space="preserve"> corporate</w:t>
      </w:r>
      <w:r w:rsidRPr="006A5733">
        <w:rPr>
          <w:rFonts w:ascii="Times New Roman" w:hAnsi="Times New Roman"/>
          <w:sz w:val="24"/>
          <w:szCs w:val="24"/>
        </w:rPr>
        <w:t xml:space="preserve"> tax rate, </w:t>
      </w:r>
      <w:r w:rsidR="00704D1B">
        <w:rPr>
          <w:rFonts w:ascii="Times New Roman" w:hAnsi="Times New Roman"/>
          <w:sz w:val="24"/>
          <w:szCs w:val="24"/>
        </w:rPr>
        <w:t>T</w:t>
      </w:r>
      <w:r w:rsidR="00704D1B">
        <w:rPr>
          <w:rFonts w:ascii="Times New Roman" w:hAnsi="Times New Roman"/>
          <w:sz w:val="24"/>
          <w:szCs w:val="24"/>
          <w:vertAlign w:val="subscript"/>
        </w:rPr>
        <w:t>C</w:t>
      </w:r>
      <w:r w:rsidRPr="006A5733">
        <w:rPr>
          <w:rFonts w:ascii="Times New Roman" w:hAnsi="Times New Roman"/>
          <w:sz w:val="24"/>
          <w:szCs w:val="24"/>
        </w:rPr>
        <w:t xml:space="preserve">, is </w:t>
      </w:r>
      <w:r w:rsidR="002C023D">
        <w:rPr>
          <w:rFonts w:ascii="Times New Roman" w:hAnsi="Times New Roman"/>
          <w:sz w:val="24"/>
          <w:szCs w:val="24"/>
        </w:rPr>
        <w:t>34%</w:t>
      </w:r>
      <w:r w:rsidRPr="006A5733">
        <w:rPr>
          <w:rFonts w:ascii="Times New Roman" w:hAnsi="Times New Roman"/>
          <w:sz w:val="24"/>
          <w:szCs w:val="24"/>
        </w:rPr>
        <w:t>. We assume that the capital asset pricing model applies, with risk-free rate, </w:t>
      </w:r>
      <w:r w:rsidRPr="006A5733">
        <w:rPr>
          <w:rFonts w:ascii="Times New Roman" w:hAnsi="Times New Roman"/>
          <w:i/>
          <w:iCs/>
          <w:sz w:val="24"/>
          <w:szCs w:val="24"/>
        </w:rPr>
        <w:t>R</w:t>
      </w:r>
      <w:r w:rsidRPr="006A5733">
        <w:rPr>
          <w:rFonts w:ascii="Times New Roman" w:hAnsi="Times New Roman"/>
          <w:sz w:val="24"/>
          <w:szCs w:val="24"/>
          <w:vertAlign w:val="subscript"/>
        </w:rPr>
        <w:t>f</w:t>
      </w:r>
      <w:r w:rsidRPr="006A5733">
        <w:rPr>
          <w:rFonts w:ascii="Times New Roman" w:hAnsi="Times New Roman"/>
          <w:sz w:val="24"/>
          <w:szCs w:val="24"/>
        </w:rPr>
        <w:t>, = 5.</w:t>
      </w:r>
      <w:r w:rsidR="002C023D">
        <w:rPr>
          <w:rFonts w:ascii="Times New Roman" w:hAnsi="Times New Roman"/>
          <w:sz w:val="24"/>
          <w:szCs w:val="24"/>
        </w:rPr>
        <w:t>0</w:t>
      </w:r>
      <w:r w:rsidRPr="006A5733">
        <w:rPr>
          <w:rFonts w:ascii="Times New Roman" w:hAnsi="Times New Roman"/>
          <w:sz w:val="24"/>
          <w:szCs w:val="24"/>
        </w:rPr>
        <w:t>% and market risk premium, </w:t>
      </w:r>
      <w:r w:rsidR="002C023D">
        <w:rPr>
          <w:rFonts w:ascii="Times New Roman" w:hAnsi="Times New Roman"/>
          <w:sz w:val="24"/>
          <w:szCs w:val="24"/>
        </w:rPr>
        <w:t>MRP</w:t>
      </w:r>
      <w:r w:rsidRPr="006A5733">
        <w:rPr>
          <w:rFonts w:ascii="Times New Roman" w:hAnsi="Times New Roman"/>
          <w:sz w:val="24"/>
          <w:szCs w:val="24"/>
        </w:rPr>
        <w:t xml:space="preserve"> = 6.0%. </w:t>
      </w:r>
      <w:r w:rsidR="002C023D" w:rsidRPr="006A5733">
        <w:rPr>
          <w:rFonts w:ascii="Times New Roman" w:hAnsi="Times New Roman"/>
          <w:sz w:val="24"/>
          <w:szCs w:val="24"/>
        </w:rPr>
        <w:t>Therefore</w:t>
      </w:r>
      <w:r w:rsidRPr="006A5733">
        <w:rPr>
          <w:rFonts w:ascii="Times New Roman" w:hAnsi="Times New Roman"/>
          <w:sz w:val="24"/>
          <w:szCs w:val="24"/>
        </w:rPr>
        <w:t>, the required return on assets</w:t>
      </w:r>
      <w:r w:rsidR="007212D5">
        <w:rPr>
          <w:rFonts w:ascii="Times New Roman" w:hAnsi="Times New Roman"/>
          <w:sz w:val="24"/>
          <w:szCs w:val="24"/>
        </w:rPr>
        <w:t xml:space="preserve"> (unlevered cost of capital) is 11.0 % (the cost of unlevered equity is the return shareholders would require if the assets were 100% equity financed),</w:t>
      </w:r>
      <w:r w:rsidR="002C023D">
        <w:rPr>
          <w:rFonts w:ascii="Times New Roman" w:hAnsi="Times New Roman"/>
          <w:sz w:val="24"/>
          <w:szCs w:val="24"/>
        </w:rPr>
        <w:t xml:space="preserve"> </w:t>
      </w:r>
      <w:r w:rsidRPr="006A5733">
        <w:rPr>
          <w:rFonts w:ascii="Times New Roman" w:hAnsi="Times New Roman"/>
          <w:sz w:val="24"/>
          <w:szCs w:val="24"/>
        </w:rPr>
        <w:t xml:space="preserve">and the cost of debt, </w:t>
      </w:r>
      <w:bookmarkStart w:id="0" w:name="_Hlk505437786"/>
      <w:r w:rsidR="002C023D">
        <w:rPr>
          <w:rFonts w:ascii="Times New Roman" w:hAnsi="Times New Roman"/>
          <w:sz w:val="24"/>
          <w:szCs w:val="24"/>
        </w:rPr>
        <w:t>R</w:t>
      </w:r>
      <w:r w:rsidR="002C023D">
        <w:rPr>
          <w:rFonts w:ascii="Times New Roman" w:hAnsi="Times New Roman"/>
          <w:sz w:val="24"/>
          <w:szCs w:val="24"/>
          <w:vertAlign w:val="subscript"/>
        </w:rPr>
        <w:t>d</w:t>
      </w:r>
      <w:bookmarkEnd w:id="0"/>
      <w:r w:rsidRPr="006A5733">
        <w:rPr>
          <w:rFonts w:ascii="Times New Roman" w:hAnsi="Times New Roman"/>
          <w:sz w:val="24"/>
          <w:szCs w:val="24"/>
        </w:rPr>
        <w:t xml:space="preserve">, is 7.5%. We </w:t>
      </w:r>
      <w:r w:rsidR="005B656E">
        <w:rPr>
          <w:rFonts w:ascii="Times New Roman" w:hAnsi="Times New Roman"/>
          <w:sz w:val="24"/>
          <w:szCs w:val="24"/>
        </w:rPr>
        <w:t>also</w:t>
      </w:r>
      <w:r w:rsidRPr="006A5733">
        <w:rPr>
          <w:rFonts w:ascii="Times New Roman" w:hAnsi="Times New Roman"/>
          <w:sz w:val="24"/>
          <w:szCs w:val="24"/>
        </w:rPr>
        <w:t xml:space="preserve"> assum</w:t>
      </w:r>
      <w:r w:rsidR="005B656E">
        <w:rPr>
          <w:rFonts w:ascii="Times New Roman" w:hAnsi="Times New Roman"/>
          <w:sz w:val="24"/>
          <w:szCs w:val="24"/>
        </w:rPr>
        <w:t>e</w:t>
      </w:r>
      <w:r w:rsidRPr="006A5733">
        <w:rPr>
          <w:rFonts w:ascii="Times New Roman" w:hAnsi="Times New Roman"/>
          <w:sz w:val="24"/>
          <w:szCs w:val="24"/>
        </w:rPr>
        <w:t xml:space="preserve"> an expected growth rate of 0% and that debt remains constant over time at </w:t>
      </w:r>
      <w:r w:rsidR="002C023D">
        <w:rPr>
          <w:rFonts w:ascii="Times New Roman" w:hAnsi="Times New Roman"/>
          <w:sz w:val="24"/>
          <w:szCs w:val="24"/>
        </w:rPr>
        <w:t>$</w:t>
      </w:r>
      <w:r w:rsidR="0058794C">
        <w:rPr>
          <w:rFonts w:ascii="Times New Roman" w:hAnsi="Times New Roman"/>
          <w:sz w:val="24"/>
          <w:szCs w:val="24"/>
        </w:rPr>
        <w:t>200</w:t>
      </w:r>
      <w:r w:rsidR="007212D5">
        <w:rPr>
          <w:rFonts w:ascii="Times New Roman" w:hAnsi="Times New Roman"/>
          <w:sz w:val="24"/>
          <w:szCs w:val="24"/>
        </w:rPr>
        <w:t>,</w:t>
      </w:r>
      <w:r w:rsidR="0058794C">
        <w:rPr>
          <w:rFonts w:ascii="Times New Roman" w:hAnsi="Times New Roman"/>
          <w:sz w:val="24"/>
          <w:szCs w:val="24"/>
        </w:rPr>
        <w:t xml:space="preserve"> and </w:t>
      </w:r>
      <w:r w:rsidR="005B656E">
        <w:rPr>
          <w:rFonts w:ascii="Times New Roman" w:hAnsi="Times New Roman"/>
          <w:sz w:val="24"/>
          <w:szCs w:val="24"/>
        </w:rPr>
        <w:t xml:space="preserve">the company </w:t>
      </w:r>
      <w:r w:rsidR="0058794C">
        <w:rPr>
          <w:rFonts w:ascii="Times New Roman" w:hAnsi="Times New Roman"/>
          <w:sz w:val="24"/>
          <w:szCs w:val="24"/>
        </w:rPr>
        <w:t>has $13</w:t>
      </w:r>
      <w:r w:rsidR="004233E7">
        <w:rPr>
          <w:rFonts w:ascii="Times New Roman" w:hAnsi="Times New Roman"/>
          <w:sz w:val="24"/>
          <w:szCs w:val="24"/>
        </w:rPr>
        <w:t>2</w:t>
      </w:r>
      <w:r w:rsidR="0058794C">
        <w:rPr>
          <w:rFonts w:ascii="Times New Roman" w:hAnsi="Times New Roman"/>
          <w:sz w:val="24"/>
          <w:szCs w:val="24"/>
        </w:rPr>
        <w:t xml:space="preserve"> in cash</w:t>
      </w:r>
      <w:r w:rsidR="00C03E0D">
        <w:rPr>
          <w:rFonts w:ascii="Times New Roman" w:hAnsi="Times New Roman"/>
          <w:sz w:val="24"/>
          <w:szCs w:val="24"/>
        </w:rPr>
        <w:t xml:space="preserve"> and 300 shares outstanding</w:t>
      </w:r>
      <w:r w:rsidR="0058794C">
        <w:rPr>
          <w:rFonts w:ascii="Times New Roman" w:hAnsi="Times New Roman"/>
          <w:sz w:val="24"/>
          <w:szCs w:val="24"/>
        </w:rPr>
        <w:t>.</w:t>
      </w:r>
    </w:p>
    <w:p w14:paraId="7F89B800" w14:textId="77777777" w:rsidR="005B656E" w:rsidRDefault="005B656E" w:rsidP="005B656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5F6EA6C" w14:textId="0281B3B7" w:rsidR="005B656E" w:rsidRPr="006A5733" w:rsidRDefault="005B656E" w:rsidP="005B656E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A5733">
        <w:rPr>
          <w:rFonts w:ascii="Times New Roman" w:hAnsi="Times New Roman"/>
          <w:b/>
          <w:bCs/>
          <w:sz w:val="24"/>
          <w:szCs w:val="24"/>
        </w:rPr>
        <w:t xml:space="preserve">Base Case: </w:t>
      </w:r>
      <w:r w:rsidR="00D2383A">
        <w:rPr>
          <w:rFonts w:ascii="Times New Roman" w:hAnsi="Times New Roman"/>
          <w:b/>
          <w:bCs/>
          <w:sz w:val="24"/>
          <w:szCs w:val="24"/>
        </w:rPr>
        <w:t>Adjusted Present Value (APV)</w:t>
      </w:r>
      <w:r w:rsidR="007212D5">
        <w:rPr>
          <w:rFonts w:ascii="Times New Roman" w:hAnsi="Times New Roman"/>
          <w:b/>
          <w:bCs/>
          <w:sz w:val="24"/>
          <w:szCs w:val="24"/>
        </w:rPr>
        <w:t>,</w:t>
      </w:r>
      <w:r w:rsidR="00D238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3E0D">
        <w:rPr>
          <w:rFonts w:ascii="Times New Roman" w:hAnsi="Times New Roman"/>
          <w:b/>
          <w:bCs/>
          <w:sz w:val="24"/>
          <w:szCs w:val="24"/>
        </w:rPr>
        <w:t>A</w:t>
      </w:r>
      <w:r w:rsidR="00D2383A">
        <w:rPr>
          <w:rFonts w:ascii="Times New Roman" w:hAnsi="Times New Roman"/>
          <w:b/>
          <w:bCs/>
          <w:sz w:val="24"/>
          <w:szCs w:val="24"/>
        </w:rPr>
        <w:t xml:space="preserve">ssuming </w:t>
      </w:r>
      <w:r w:rsidR="00C03E0D">
        <w:rPr>
          <w:rFonts w:ascii="Times New Roman" w:hAnsi="Times New Roman"/>
          <w:b/>
          <w:bCs/>
          <w:sz w:val="24"/>
          <w:szCs w:val="24"/>
        </w:rPr>
        <w:t xml:space="preserve">the </w:t>
      </w:r>
      <w:r w:rsidRPr="006A5733">
        <w:rPr>
          <w:rFonts w:ascii="Times New Roman" w:hAnsi="Times New Roman"/>
          <w:b/>
          <w:bCs/>
          <w:sz w:val="24"/>
          <w:szCs w:val="24"/>
        </w:rPr>
        <w:t xml:space="preserve">Debt Level Is </w:t>
      </w:r>
      <w:r w:rsidR="00D2383A">
        <w:rPr>
          <w:rFonts w:ascii="Times New Roman" w:hAnsi="Times New Roman"/>
          <w:b/>
          <w:bCs/>
          <w:sz w:val="24"/>
          <w:szCs w:val="24"/>
        </w:rPr>
        <w:t>Constant</w:t>
      </w:r>
      <w:r w:rsidRPr="006A5733">
        <w:rPr>
          <w:rFonts w:ascii="Times New Roman" w:hAnsi="Times New Roman"/>
          <w:b/>
          <w:bCs/>
          <w:sz w:val="24"/>
          <w:szCs w:val="24"/>
        </w:rPr>
        <w:t xml:space="preserve"> over Time</w:t>
      </w:r>
    </w:p>
    <w:p w14:paraId="3A8A7B00" w14:textId="77777777" w:rsidR="0058794C" w:rsidRDefault="0058794C" w:rsidP="006A5733">
      <w:pPr>
        <w:pStyle w:val="NoSpacing"/>
        <w:rPr>
          <w:rFonts w:ascii="Times New Roman" w:hAnsi="Times New Roman"/>
          <w:sz w:val="24"/>
          <w:szCs w:val="24"/>
        </w:rPr>
      </w:pPr>
    </w:p>
    <w:p w14:paraId="428B4E0E" w14:textId="42A5F3AA" w:rsidR="005B656E" w:rsidRDefault="005B656E" w:rsidP="005B656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Discounting the</w:t>
      </w:r>
      <w:r w:rsidRPr="006A5733">
        <w:rPr>
          <w:rFonts w:ascii="Times New Roman" w:hAnsi="Times New Roman"/>
          <w:sz w:val="24"/>
          <w:szCs w:val="24"/>
        </w:rPr>
        <w:t xml:space="preserve"> free cash flows to the firm (FCFFs)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6A5733">
        <w:rPr>
          <w:rFonts w:ascii="Times New Roman" w:hAnsi="Times New Roman"/>
          <w:sz w:val="24"/>
          <w:szCs w:val="24"/>
        </w:rPr>
        <w:t xml:space="preserve">the terminal value of the FCFFs </w:t>
      </w:r>
      <w:r>
        <w:rPr>
          <w:rFonts w:ascii="Times New Roman" w:hAnsi="Times New Roman"/>
          <w:sz w:val="24"/>
          <w:szCs w:val="24"/>
        </w:rPr>
        <w:t>(</w:t>
      </w:r>
      <w:r w:rsidRPr="006A5733">
        <w:rPr>
          <w:rFonts w:ascii="Times New Roman" w:hAnsi="Times New Roman"/>
          <w:sz w:val="24"/>
          <w:szCs w:val="24"/>
        </w:rPr>
        <w:t>FCFF</w:t>
      </w:r>
      <w:r w:rsidRPr="006A5733">
        <w:rPr>
          <w:rFonts w:ascii="Times New Roman" w:hAnsi="Times New Roman"/>
          <w:sz w:val="24"/>
          <w:szCs w:val="24"/>
          <w:vertAlign w:val="subscript"/>
        </w:rPr>
        <w:t>4</w:t>
      </w:r>
      <w:r w:rsidRPr="006A573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R</w:t>
      </w:r>
      <w:r w:rsidRPr="006A5733">
        <w:rPr>
          <w:rFonts w:ascii="Times New Roman" w:hAnsi="Times New Roman"/>
          <w:sz w:val="24"/>
          <w:szCs w:val="24"/>
          <w:vertAlign w:val="subscript"/>
        </w:rPr>
        <w:t>u</w:t>
      </w:r>
      <w:r>
        <w:rPr>
          <w:rFonts w:ascii="Times New Roman" w:hAnsi="Times New Roman"/>
          <w:sz w:val="24"/>
          <w:szCs w:val="24"/>
        </w:rPr>
        <w:t>) at unlevered cost of equity</w:t>
      </w:r>
      <w:r w:rsidRPr="006A5733">
        <w:rPr>
          <w:rFonts w:ascii="Times New Roman" w:hAnsi="Times New Roman"/>
          <w:sz w:val="24"/>
          <w:szCs w:val="24"/>
        </w:rPr>
        <w:t xml:space="preserve">, and tax </w:t>
      </w:r>
      <w:r>
        <w:rPr>
          <w:rFonts w:ascii="Times New Roman" w:hAnsi="Times New Roman"/>
          <w:sz w:val="24"/>
          <w:szCs w:val="24"/>
        </w:rPr>
        <w:t xml:space="preserve">shield </w:t>
      </w:r>
      <w:r w:rsidRPr="006A5733">
        <w:rPr>
          <w:rFonts w:ascii="Times New Roman" w:hAnsi="Times New Roman"/>
          <w:sz w:val="24"/>
          <w:szCs w:val="24"/>
        </w:rPr>
        <w:t xml:space="preserve">(TS)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6A5733">
        <w:rPr>
          <w:rFonts w:ascii="Times New Roman" w:hAnsi="Times New Roman"/>
          <w:sz w:val="24"/>
          <w:szCs w:val="24"/>
        </w:rPr>
        <w:t xml:space="preserve">terminal value of the tax </w:t>
      </w:r>
      <w:r>
        <w:rPr>
          <w:rFonts w:ascii="Times New Roman" w:hAnsi="Times New Roman"/>
          <w:sz w:val="24"/>
          <w:szCs w:val="24"/>
        </w:rPr>
        <w:t>shield (</w:t>
      </w:r>
      <w:r w:rsidRPr="006A5733">
        <w:rPr>
          <w:rFonts w:ascii="Times New Roman" w:hAnsi="Times New Roman"/>
          <w:sz w:val="24"/>
          <w:szCs w:val="24"/>
        </w:rPr>
        <w:t>TS</w:t>
      </w:r>
      <w:r w:rsidRPr="006A5733">
        <w:rPr>
          <w:rFonts w:ascii="Times New Roman" w:hAnsi="Times New Roman"/>
          <w:sz w:val="24"/>
          <w:szCs w:val="24"/>
          <w:vertAlign w:val="subscript"/>
        </w:rPr>
        <w:t>4</w:t>
      </w:r>
      <w:r w:rsidRPr="006A5733">
        <w:rPr>
          <w:rFonts w:ascii="Times New Roman" w:hAnsi="Times New Roman"/>
          <w:sz w:val="24"/>
          <w:szCs w:val="24"/>
        </w:rPr>
        <w:t>/</w:t>
      </w:r>
      <w:r w:rsidRPr="002C02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  <w:vertAlign w:val="subscript"/>
        </w:rPr>
        <w:t>d</w:t>
      </w:r>
      <w:r>
        <w:rPr>
          <w:rFonts w:ascii="Times New Roman" w:hAnsi="Times New Roman"/>
          <w:sz w:val="24"/>
          <w:szCs w:val="24"/>
        </w:rPr>
        <w:t>)</w:t>
      </w:r>
      <w:r w:rsidRPr="006A5733">
        <w:rPr>
          <w:rFonts w:ascii="Times New Roman" w:hAnsi="Times New Roman"/>
          <w:sz w:val="24"/>
          <w:szCs w:val="24"/>
        </w:rPr>
        <w:t xml:space="preserve"> discounted at </w:t>
      </w:r>
      <w:r>
        <w:rPr>
          <w:rFonts w:ascii="Times New Roman" w:hAnsi="Times New Roman"/>
          <w:sz w:val="24"/>
          <w:szCs w:val="24"/>
        </w:rPr>
        <w:t>cost of debt</w:t>
      </w:r>
      <w:r w:rsidRPr="006A5733">
        <w:rPr>
          <w:rFonts w:ascii="Times New Roman" w:hAnsi="Times New Roman"/>
          <w:sz w:val="24"/>
          <w:szCs w:val="24"/>
        </w:rPr>
        <w:t xml:space="preserve">, </w:t>
      </w:r>
      <w:r w:rsidR="00D2383A">
        <w:rPr>
          <w:rFonts w:ascii="Times New Roman" w:hAnsi="Times New Roman"/>
          <w:sz w:val="24"/>
          <w:szCs w:val="24"/>
        </w:rPr>
        <w:t>the enterprise value (EV) is estimated.</w:t>
      </w:r>
    </w:p>
    <w:p w14:paraId="753E36F0" w14:textId="07A84D97" w:rsidR="005B656E" w:rsidRPr="006A5733" w:rsidRDefault="005B656E" w:rsidP="005B656E">
      <w:pPr>
        <w:pStyle w:val="NoSpacing"/>
        <w:rPr>
          <w:rFonts w:ascii="Times New Roman" w:hAnsi="Times New Roman"/>
          <w:sz w:val="24"/>
          <w:szCs w:val="24"/>
        </w:rPr>
      </w:pPr>
      <w:r w:rsidRPr="006A5733">
        <w:rPr>
          <w:rFonts w:ascii="Times New Roman" w:hAnsi="Times New Roman"/>
          <w:sz w:val="24"/>
          <w:szCs w:val="24"/>
        </w:rPr>
        <w:t xml:space="preserve">Note that using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  <w:vertAlign w:val="subscript"/>
        </w:rPr>
        <w:t>d</w:t>
      </w:r>
      <w:r w:rsidRPr="006A5733">
        <w:rPr>
          <w:rFonts w:ascii="Times New Roman" w:hAnsi="Times New Roman"/>
          <w:sz w:val="24"/>
          <w:szCs w:val="24"/>
        </w:rPr>
        <w:t xml:space="preserve"> to discount the tax </w:t>
      </w:r>
      <w:r w:rsidR="00D2383A">
        <w:rPr>
          <w:rFonts w:ascii="Times New Roman" w:hAnsi="Times New Roman"/>
          <w:sz w:val="24"/>
          <w:szCs w:val="24"/>
        </w:rPr>
        <w:t>shields</w:t>
      </w:r>
      <w:r w:rsidRPr="006A5733">
        <w:rPr>
          <w:rFonts w:ascii="Times New Roman" w:hAnsi="Times New Roman"/>
          <w:sz w:val="24"/>
          <w:szCs w:val="24"/>
        </w:rPr>
        <w:t xml:space="preserve"> does not imply that the </w:t>
      </w:r>
      <w:r>
        <w:rPr>
          <w:rFonts w:ascii="Times New Roman" w:hAnsi="Times New Roman"/>
          <w:sz w:val="24"/>
          <w:szCs w:val="24"/>
        </w:rPr>
        <w:t>tax shields</w:t>
      </w:r>
      <w:r w:rsidRPr="006A5733">
        <w:rPr>
          <w:rFonts w:ascii="Times New Roman" w:hAnsi="Times New Roman"/>
          <w:sz w:val="24"/>
          <w:szCs w:val="24"/>
        </w:rPr>
        <w:t xml:space="preserve"> are assumed to be riskless, but, as in Modigliani and Miller’s seminal paper, they are </w:t>
      </w:r>
      <w:r w:rsidR="007212D5">
        <w:rPr>
          <w:rFonts w:ascii="Times New Roman" w:hAnsi="Times New Roman"/>
          <w:sz w:val="24"/>
          <w:szCs w:val="24"/>
        </w:rPr>
        <w:t>taken</w:t>
      </w:r>
      <w:r w:rsidRPr="006A5733">
        <w:rPr>
          <w:rFonts w:ascii="Times New Roman" w:hAnsi="Times New Roman"/>
          <w:sz w:val="24"/>
          <w:szCs w:val="24"/>
        </w:rPr>
        <w:t xml:space="preserve"> to carry the same risk as the debt itself.</w:t>
      </w:r>
    </w:p>
    <w:p w14:paraId="555CDFF4" w14:textId="77777777" w:rsidR="005B656E" w:rsidRDefault="005B656E" w:rsidP="005B656E">
      <w:pPr>
        <w:pStyle w:val="NoSpacing"/>
        <w:rPr>
          <w:rFonts w:ascii="Times New Roman" w:hAnsi="Times New Roman"/>
          <w:sz w:val="24"/>
          <w:szCs w:val="24"/>
        </w:rPr>
      </w:pPr>
    </w:p>
    <w:p w14:paraId="7ADB6239" w14:textId="3789BDFF" w:rsidR="006A5733" w:rsidRPr="006A5733" w:rsidRDefault="006A5733" w:rsidP="005B656E">
      <w:pPr>
        <w:pStyle w:val="NoSpacing"/>
        <w:rPr>
          <w:rFonts w:ascii="Times New Roman" w:hAnsi="Times New Roman"/>
          <w:sz w:val="24"/>
          <w:szCs w:val="24"/>
        </w:rPr>
      </w:pPr>
      <w:r w:rsidRPr="006A5733">
        <w:rPr>
          <w:rFonts w:ascii="Times New Roman" w:hAnsi="Times New Roman"/>
          <w:sz w:val="24"/>
          <w:szCs w:val="24"/>
        </w:rPr>
        <w:t xml:space="preserve">Table 1 shows that </w:t>
      </w:r>
      <w:r w:rsidR="007212D5">
        <w:rPr>
          <w:rFonts w:ascii="Times New Roman" w:hAnsi="Times New Roman"/>
          <w:sz w:val="24"/>
          <w:szCs w:val="24"/>
        </w:rPr>
        <w:t>the Adjusted Present Value (APV) valuation of MM capital structure yields an enterprise value (EV) of $3,668, market value of equity (MVE) of $3,600,</w:t>
      </w:r>
      <w:r w:rsidR="00C03E0D">
        <w:rPr>
          <w:rFonts w:ascii="Times New Roman" w:hAnsi="Times New Roman"/>
          <w:sz w:val="24"/>
          <w:szCs w:val="24"/>
        </w:rPr>
        <w:t xml:space="preserve"> and stock price of $12 per share.</w:t>
      </w:r>
      <w:r w:rsidRPr="006A5733">
        <w:rPr>
          <w:rFonts w:ascii="Times New Roman" w:hAnsi="Times New Roman"/>
          <w:sz w:val="24"/>
          <w:szCs w:val="24"/>
        </w:rPr>
        <w:t xml:space="preserve"> </w:t>
      </w:r>
    </w:p>
    <w:p w14:paraId="4D541387" w14:textId="79D8FCA1" w:rsidR="006A5733" w:rsidRDefault="006A5733" w:rsidP="006A573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A5733">
        <w:rPr>
          <w:rFonts w:ascii="Times New Roman" w:hAnsi="Times New Roman"/>
          <w:b/>
          <w:bCs/>
          <w:sz w:val="24"/>
          <w:szCs w:val="24"/>
        </w:rPr>
        <w:t>Table 1. Adjusted present value (APV) valuation</w:t>
      </w:r>
    </w:p>
    <w:p w14:paraId="1460AD85" w14:textId="5BED72B3" w:rsidR="00B3711C" w:rsidRDefault="00B3711C" w:rsidP="006A573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7364" w:type="dxa"/>
        <w:tblInd w:w="108" w:type="dxa"/>
        <w:tblLook w:val="04A0" w:firstRow="1" w:lastRow="0" w:firstColumn="1" w:lastColumn="0" w:noHBand="0" w:noVBand="1"/>
      </w:tblPr>
      <w:tblGrid>
        <w:gridCol w:w="3739"/>
        <w:gridCol w:w="876"/>
        <w:gridCol w:w="836"/>
        <w:gridCol w:w="836"/>
        <w:gridCol w:w="836"/>
        <w:gridCol w:w="876"/>
      </w:tblGrid>
      <w:tr w:rsidR="00B3711C" w:rsidRPr="00B3711C" w14:paraId="0D17E7E4" w14:textId="77777777" w:rsidTr="007212D5">
        <w:trPr>
          <w:trHeight w:val="330"/>
        </w:trPr>
        <w:tc>
          <w:tcPr>
            <w:tcW w:w="37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71BF902" w14:textId="40C60123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C03E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Table -1</w:t>
            </w:r>
          </w:p>
        </w:tc>
        <w:tc>
          <w:tcPr>
            <w:tcW w:w="24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72C9640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48CC488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75C607C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DEE4F09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A5AEBE0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B3711C" w:rsidRPr="00B3711C" w14:paraId="461EFA9F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6927BE83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Growth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34C499A2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7546A0DC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3195FCED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6214E43E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684F7B0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B3711C" w:rsidRPr="00B3711C" w14:paraId="3793A492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2D817DE1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EBIT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BC6EB97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7948EB4D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7D77D4F1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79311802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$600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6B730BAC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6D14E4FC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361D3BD9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Tax (34%)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1A8DC043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4B15884E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-$204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141AFA7F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-$204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6A088BA9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-$204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64E2D511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355973CA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5A18265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Net Income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3014376E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129F4F87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$396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04BABC59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$396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0AD84EB1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$396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274FA429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40474196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43BBDD61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Plus: Dep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1928B9A4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4A669587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C834AC9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33D8ECB1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23FD1CD1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1FBFEB53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08ABF229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Less: Investment in NWC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4775BA21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0A72566A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F69CC7D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78D6C926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62EFACAA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6FE45981" w14:textId="77777777" w:rsidTr="007212D5">
        <w:trPr>
          <w:trHeight w:val="315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0B38268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Less;</w:t>
            </w:r>
            <w:proofErr w:type="gramEnd"/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Net Cap EXP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19E8C8D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A82BC9C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48AA022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52E3509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8B55756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40E9FA93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264A8CD8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Free Cash Flow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150A125D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3E6F2FBC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$396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4A8710BE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$396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3A9A33DF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$396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48C4CC9A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037E7131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6B3EAFF1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Discount </w:t>
            </w:r>
            <w:proofErr w:type="gramStart"/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factor @</w:t>
            </w:r>
            <w:proofErr w:type="gramEnd"/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Ru (11.0%)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EF0A8E2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18BDB83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90.1%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7D7122A1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81.2%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784A65DB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73.1%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9328E00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496CDBA8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24C91A74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PV of FCF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20889B7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2C980673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$357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F3C42DE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$321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25DE175E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$290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4332705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305B6674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7033AAFF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Total FCF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0933F938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$968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29EC8122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7122BA22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C4BA0D0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C652C25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6EFA4C35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3D762FE8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Terminal Value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7A18A0DC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1DE00000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356CBF04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27E8CD14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29103CD4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$3,600</w:t>
            </w:r>
          </w:p>
        </w:tc>
      </w:tr>
      <w:tr w:rsidR="00B3711C" w:rsidRPr="00B3711C" w14:paraId="184F83BB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34A7A21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PV(TV)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B3BF49E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$2,632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362426D1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23F1FC77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156F2139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635A3FD4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36904C73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3D7D5CFF" w14:textId="2C27E0DD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Market value of </w:t>
            </w:r>
            <w:r w:rsidR="007212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the </w:t>
            </w: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unlevered firm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0D658818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$3,600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0B22B1F3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4D1177B7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322A896A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24E66A7F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5F010D77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8D1A819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Debt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7E2ABC7E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488E1FD0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0F675A16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0AF7CA93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F230EF1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$200</w:t>
            </w:r>
          </w:p>
        </w:tc>
      </w:tr>
      <w:tr w:rsidR="00B3711C" w:rsidRPr="00B3711C" w14:paraId="7937CF87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466E66DF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Interest @ Rd (7.50%)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146D4E48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7.50%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4060EEC2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61B450B5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D890D7D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6DD7572A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$15</w:t>
            </w:r>
          </w:p>
        </w:tc>
      </w:tr>
      <w:tr w:rsidR="00B3711C" w:rsidRPr="00B3711C" w14:paraId="3E03A70C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D21762F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TV(TS)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37BFEAED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8A457B2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33C51A16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2B869057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645C24FB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$68</w:t>
            </w:r>
          </w:p>
        </w:tc>
      </w:tr>
      <w:tr w:rsidR="00B3711C" w:rsidRPr="00B3711C" w14:paraId="2C2FF74F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2D2C467C" w14:textId="2C8598DE" w:rsidR="00B3711C" w:rsidRPr="00B3711C" w:rsidRDefault="006E39A6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Tax shields</w:t>
            </w:r>
            <w:r w:rsidR="00B3711C"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@ tax rate (.34%)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1698D5B2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004ACE8E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$5.10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0E2DC9A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$5.10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2A35D092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$5.10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6D8F43FB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578F1D04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472F66BE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PV(TS)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00856716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$13.26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18D0653A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0DC81853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059D43F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21305DE7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57C37747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14:paraId="285901D7" w14:textId="43B11F6A" w:rsidR="00B3711C" w:rsidRPr="00B3711C" w:rsidRDefault="00785969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PV (</w:t>
            </w:r>
            <w:r w:rsidR="00B3711C"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TV of TS)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79A85158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$54.74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49459EAB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0EE4F026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7FDD961A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72D45B67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65D5BEA4" w14:textId="77777777" w:rsidTr="007212D5">
        <w:trPr>
          <w:trHeight w:val="315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0C3B830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Value of Tax Shield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F7DB14C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$68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407A2BA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3FA9129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E9FB8B2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07D6699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55D7A754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3FF8939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Enterprise value (EV)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0D402760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$3,668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71335547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595B88F7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27A25575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19B5284C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470CF229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14:paraId="4D3B1270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14:paraId="6E3F331E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$132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14:paraId="0998FD56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14:paraId="4D3B9466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14:paraId="01B8E3D3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14:paraId="2D08D62B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2D0B2450" w14:textId="77777777" w:rsidTr="007212D5">
        <w:trPr>
          <w:trHeight w:val="315"/>
        </w:trPr>
        <w:tc>
          <w:tcPr>
            <w:tcW w:w="3739" w:type="dxa"/>
            <w:tcBorders>
              <w:top w:val="single" w:sz="8" w:space="0" w:color="CCCCCC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6B2E4C3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Debt</w:t>
            </w:r>
          </w:p>
        </w:tc>
        <w:tc>
          <w:tcPr>
            <w:tcW w:w="241" w:type="dxa"/>
            <w:tcBorders>
              <w:top w:val="single" w:sz="8" w:space="0" w:color="CCCCCC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7FEECD3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$200</w:t>
            </w:r>
          </w:p>
        </w:tc>
        <w:tc>
          <w:tcPr>
            <w:tcW w:w="836" w:type="dxa"/>
            <w:tcBorders>
              <w:top w:val="single" w:sz="8" w:space="0" w:color="CCCCCC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9D02846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single" w:sz="8" w:space="0" w:color="CCCCCC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1A60C87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single" w:sz="8" w:space="0" w:color="CCCCCC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A3B5DB4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CCCCCC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28680E1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1935BD69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1F7CCC2F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Market value of equity (MVE)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11B1E69E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$3,600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70E8F012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334ED6FB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729A1926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CCCCCC"/>
              <w:right w:val="single" w:sz="12" w:space="0" w:color="auto"/>
            </w:tcBorders>
            <w:noWrap/>
            <w:hideMark/>
          </w:tcPr>
          <w:p w14:paraId="1CC3A8F7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0F62019A" w14:textId="77777777" w:rsidTr="007212D5">
        <w:trPr>
          <w:trHeight w:val="315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DB02908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Shares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A22E11D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22DAC6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F2F8B1D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F89F51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604C0B7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711C" w:rsidRPr="00B3711C" w14:paraId="20A52C13" w14:textId="77777777" w:rsidTr="007212D5">
        <w:trPr>
          <w:trHeight w:val="330"/>
        </w:trPr>
        <w:tc>
          <w:tcPr>
            <w:tcW w:w="3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3DE4319C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Price</w:t>
            </w:r>
          </w:p>
        </w:tc>
        <w:tc>
          <w:tcPr>
            <w:tcW w:w="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64FFE24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$12.00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5D5AE6D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1917579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4546FC2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6504649" w14:textId="77777777" w:rsidR="00B3711C" w:rsidRPr="00B3711C" w:rsidRDefault="00B3711C" w:rsidP="00B371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71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F561D63" w14:textId="16625F0E" w:rsidR="00B3711C" w:rsidRDefault="00B3711C" w:rsidP="006A573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6E546F2" w14:textId="1EAAD11E" w:rsidR="00C03E0D" w:rsidRPr="008E3D58" w:rsidRDefault="008E3D58" w:rsidP="006A5733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8E3D58">
        <w:rPr>
          <w:rFonts w:ascii="Times New Roman" w:hAnsi="Times New Roman"/>
          <w:bCs/>
          <w:sz w:val="24"/>
          <w:szCs w:val="24"/>
        </w:rPr>
        <w:t>Alternate Solution: MVE = Price x Shares = $12 x 300 =$36,00</w:t>
      </w:r>
    </w:p>
    <w:p w14:paraId="1A253E79" w14:textId="764C9CDE" w:rsidR="008E3D58" w:rsidRPr="008E3D58" w:rsidRDefault="008E3D58" w:rsidP="006A5733">
      <w:pPr>
        <w:pStyle w:val="NoSpacing"/>
        <w:rPr>
          <w:rFonts w:ascii="Times New Roman" w:hAnsi="Times New Roman"/>
          <w:bCs/>
          <w:sz w:val="24"/>
          <w:szCs w:val="24"/>
        </w:rPr>
      </w:pPr>
      <w:proofErr w:type="spellStart"/>
      <w:r w:rsidRPr="008E3D58">
        <w:rPr>
          <w:rFonts w:ascii="Times New Roman" w:hAnsi="Times New Roman"/>
          <w:bCs/>
          <w:sz w:val="24"/>
          <w:szCs w:val="24"/>
        </w:rPr>
        <w:t>V</w:t>
      </w:r>
      <w:r w:rsidRPr="008E3D58">
        <w:rPr>
          <w:rFonts w:ascii="Times New Roman" w:hAnsi="Times New Roman"/>
          <w:bCs/>
          <w:sz w:val="24"/>
          <w:szCs w:val="24"/>
          <w:vertAlign w:val="subscript"/>
        </w:rPr>
        <w:t>Levered</w:t>
      </w:r>
      <w:proofErr w:type="spellEnd"/>
      <w:r w:rsidRPr="008E3D58">
        <w:rPr>
          <w:rFonts w:ascii="Times New Roman" w:hAnsi="Times New Roman"/>
          <w:bCs/>
          <w:sz w:val="24"/>
          <w:szCs w:val="24"/>
        </w:rPr>
        <w:t xml:space="preserve"> = </w:t>
      </w:r>
      <w:proofErr w:type="spellStart"/>
      <w:r w:rsidRPr="008E3D58">
        <w:rPr>
          <w:rFonts w:ascii="Times New Roman" w:hAnsi="Times New Roman"/>
          <w:bCs/>
          <w:sz w:val="24"/>
          <w:szCs w:val="24"/>
        </w:rPr>
        <w:t>V</w:t>
      </w:r>
      <w:r w:rsidRPr="008E3D58">
        <w:rPr>
          <w:rFonts w:ascii="Times New Roman" w:hAnsi="Times New Roman"/>
          <w:bCs/>
          <w:sz w:val="24"/>
          <w:szCs w:val="24"/>
          <w:vertAlign w:val="subscript"/>
        </w:rPr>
        <w:t>Unlevered</w:t>
      </w:r>
      <w:proofErr w:type="spellEnd"/>
      <w:r w:rsidRPr="008E3D58">
        <w:rPr>
          <w:rFonts w:ascii="Times New Roman" w:hAnsi="Times New Roman"/>
          <w:bCs/>
          <w:sz w:val="24"/>
          <w:szCs w:val="24"/>
          <w:vertAlign w:val="subscript"/>
        </w:rPr>
        <w:t xml:space="preserve"> </w:t>
      </w:r>
      <w:r w:rsidRPr="008E3D58">
        <w:rPr>
          <w:rFonts w:ascii="Times New Roman" w:hAnsi="Times New Roman"/>
          <w:bCs/>
          <w:sz w:val="24"/>
          <w:szCs w:val="24"/>
        </w:rPr>
        <w:t>+ Tax rate (Debt) = $3600 + 34% ($200) = $3,668</w:t>
      </w:r>
    </w:p>
    <w:p w14:paraId="3C13EEBF" w14:textId="77777777" w:rsidR="008E3D58" w:rsidRPr="008E3D58" w:rsidRDefault="008E3D58" w:rsidP="006A573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0DE8A6A" w14:textId="21C764EC" w:rsidR="00656D3E" w:rsidRPr="00656D3E" w:rsidRDefault="00656D3E" w:rsidP="00656D3E">
      <w:pPr>
        <w:pStyle w:val="NoSpacing"/>
        <w:rPr>
          <w:rFonts w:ascii="Times New Roman" w:hAnsi="Times New Roman"/>
          <w:b/>
          <w:sz w:val="24"/>
          <w:szCs w:val="24"/>
        </w:rPr>
      </w:pPr>
      <w:r w:rsidRPr="00656D3E">
        <w:rPr>
          <w:rFonts w:ascii="Times New Roman" w:hAnsi="Times New Roman"/>
          <w:b/>
          <w:sz w:val="24"/>
          <w:szCs w:val="24"/>
        </w:rPr>
        <w:t>WACC Approach</w:t>
      </w:r>
    </w:p>
    <w:p w14:paraId="6EA776D6" w14:textId="7A67F4FA" w:rsidR="00656D3E" w:rsidRPr="006A5733" w:rsidRDefault="00656D3E" w:rsidP="00656D3E">
      <w:pPr>
        <w:pStyle w:val="NoSpacing"/>
        <w:rPr>
          <w:rFonts w:ascii="Times New Roman" w:hAnsi="Times New Roman"/>
          <w:sz w:val="24"/>
          <w:szCs w:val="24"/>
        </w:rPr>
      </w:pPr>
      <w:r w:rsidRPr="006A5733">
        <w:rPr>
          <w:rFonts w:ascii="Times New Roman" w:hAnsi="Times New Roman"/>
          <w:sz w:val="24"/>
          <w:szCs w:val="24"/>
        </w:rPr>
        <w:t>Table 2 shows that WACC valuation yields the same result as APV, with FCFF now discounted at WACC = 1</w:t>
      </w:r>
      <w:r w:rsidR="006E39A6">
        <w:rPr>
          <w:rFonts w:ascii="Times New Roman" w:hAnsi="Times New Roman"/>
          <w:sz w:val="24"/>
          <w:szCs w:val="24"/>
        </w:rPr>
        <w:t>1.</w:t>
      </w:r>
      <w:r w:rsidRPr="006A5733">
        <w:rPr>
          <w:rFonts w:ascii="Times New Roman" w:hAnsi="Times New Roman"/>
          <w:sz w:val="24"/>
          <w:szCs w:val="24"/>
        </w:rPr>
        <w:t>0% and residual value at the end of the third year equaling FCFF</w:t>
      </w:r>
      <w:r w:rsidRPr="006A5733">
        <w:rPr>
          <w:rFonts w:ascii="Times New Roman" w:hAnsi="Times New Roman"/>
          <w:sz w:val="24"/>
          <w:szCs w:val="24"/>
          <w:vertAlign w:val="subscript"/>
        </w:rPr>
        <w:t>4</w:t>
      </w:r>
      <w:r w:rsidRPr="006A5733">
        <w:rPr>
          <w:rFonts w:ascii="Times New Roman" w:hAnsi="Times New Roman"/>
          <w:sz w:val="24"/>
          <w:szCs w:val="24"/>
        </w:rPr>
        <w:t>/WACC. The WACC computation, and therefore the equivalence between the two methodologies, depends critically on the cost of equity being consistent with the arbitrage-implied structure of return requirements. In the case of debt remaining constant over time, the classical formula used by practitioners applies:</w:t>
      </w:r>
      <w:r>
        <w:rPr>
          <w:rFonts w:ascii="Times New Roman" w:hAnsi="Times New Roman"/>
          <w:sz w:val="24"/>
          <w:szCs w:val="24"/>
        </w:rPr>
        <w:t xml:space="preserve"> Re</w:t>
      </w:r>
      <w:r w:rsidRPr="006A5733">
        <w:rPr>
          <w:rFonts w:ascii="Times New Roman" w:hAnsi="Times New Roman"/>
          <w:sz w:val="24"/>
          <w:szCs w:val="24"/>
        </w:rPr>
        <w:t xml:space="preserve"> = </w:t>
      </w:r>
      <w:r w:rsidRPr="006A5733">
        <w:rPr>
          <w:rFonts w:ascii="Times New Roman" w:hAnsi="Times New Roman"/>
          <w:i/>
          <w:iCs/>
          <w:sz w:val="24"/>
          <w:szCs w:val="24"/>
        </w:rPr>
        <w:t>R</w:t>
      </w:r>
      <w:r w:rsidRPr="006A5733">
        <w:rPr>
          <w:rFonts w:ascii="Times New Roman" w:hAnsi="Times New Roman"/>
          <w:sz w:val="24"/>
          <w:szCs w:val="24"/>
          <w:vertAlign w:val="subscript"/>
        </w:rPr>
        <w:t>f</w:t>
      </w:r>
      <w:r w:rsidRPr="006A5733">
        <w:rPr>
          <w:rFonts w:ascii="Times New Roman" w:hAnsi="Times New Roman"/>
          <w:sz w:val="24"/>
          <w:szCs w:val="24"/>
        </w:rPr>
        <w:t> + </w:t>
      </w:r>
      <w:r w:rsidRPr="006A5733">
        <w:rPr>
          <w:rFonts w:ascii="Times New Roman" w:hAnsi="Times New Roman"/>
          <w:i/>
          <w:iCs/>
          <w:sz w:val="24"/>
          <w:szCs w:val="24"/>
        </w:rPr>
        <w:t>β</w:t>
      </w:r>
      <w:r w:rsidRPr="006A5733">
        <w:rPr>
          <w:rFonts w:ascii="Times New Roman" w:hAnsi="Times New Roman"/>
          <w:sz w:val="24"/>
          <w:szCs w:val="24"/>
          <w:vertAlign w:val="subscript"/>
        </w:rPr>
        <w:t>e</w:t>
      </w:r>
      <w:r w:rsidRPr="006A573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(MRP)</w:t>
      </w:r>
    </w:p>
    <w:p w14:paraId="2986E4EF" w14:textId="3C409ADC" w:rsidR="00656D3E" w:rsidRPr="006A5733" w:rsidRDefault="00656D3E" w:rsidP="00656D3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6A5733"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733">
        <w:rPr>
          <w:rFonts w:ascii="Times New Roman" w:hAnsi="Times New Roman"/>
          <w:i/>
          <w:iCs/>
          <w:sz w:val="24"/>
          <w:szCs w:val="24"/>
        </w:rPr>
        <w:t>β</w:t>
      </w:r>
      <w:r w:rsidRPr="006A5733">
        <w:rPr>
          <w:rFonts w:ascii="Times New Roman" w:hAnsi="Times New Roman"/>
          <w:sz w:val="24"/>
          <w:szCs w:val="24"/>
          <w:vertAlign w:val="subscript"/>
        </w:rPr>
        <w:t>e</w:t>
      </w:r>
      <w:r w:rsidRPr="006A5733">
        <w:rPr>
          <w:rFonts w:ascii="Times New Roman" w:hAnsi="Times New Roman"/>
          <w:sz w:val="24"/>
          <w:szCs w:val="24"/>
        </w:rPr>
        <w:t> = </w:t>
      </w:r>
      <w:r w:rsidRPr="006A5733">
        <w:rPr>
          <w:rFonts w:ascii="Times New Roman" w:hAnsi="Times New Roman"/>
          <w:i/>
          <w:iCs/>
          <w:sz w:val="24"/>
          <w:szCs w:val="24"/>
        </w:rPr>
        <w:t>β</w:t>
      </w:r>
      <w:proofErr w:type="gramStart"/>
      <w:r w:rsidRPr="006A5733">
        <w:rPr>
          <w:rFonts w:ascii="Times New Roman" w:hAnsi="Times New Roman"/>
          <w:sz w:val="24"/>
          <w:szCs w:val="24"/>
          <w:vertAlign w:val="subscript"/>
        </w:rPr>
        <w:t>u</w:t>
      </w:r>
      <w:r w:rsidRPr="006A5733">
        <w:rPr>
          <w:rFonts w:ascii="Times New Roman" w:hAnsi="Times New Roman"/>
          <w:sz w:val="24"/>
          <w:szCs w:val="24"/>
        </w:rPr>
        <w:t>[</w:t>
      </w:r>
      <w:proofErr w:type="gramEnd"/>
      <w:r w:rsidRPr="006A5733">
        <w:rPr>
          <w:rFonts w:ascii="Times New Roman" w:hAnsi="Times New Roman"/>
          <w:sz w:val="24"/>
          <w:szCs w:val="24"/>
        </w:rPr>
        <w:t>1 + (1 – </w:t>
      </w:r>
      <w:r w:rsidR="00E54706">
        <w:rPr>
          <w:rFonts w:ascii="Times New Roman" w:hAnsi="Times New Roman"/>
          <w:sz w:val="24"/>
          <w:szCs w:val="24"/>
        </w:rPr>
        <w:t>T</w:t>
      </w:r>
      <w:r w:rsidR="00E54706">
        <w:rPr>
          <w:rFonts w:ascii="Times New Roman" w:hAnsi="Times New Roman"/>
          <w:sz w:val="24"/>
          <w:szCs w:val="24"/>
          <w:vertAlign w:val="subscript"/>
        </w:rPr>
        <w:t>C</w:t>
      </w:r>
      <w:r w:rsidRPr="006A5733">
        <w:rPr>
          <w:rFonts w:ascii="Times New Roman" w:hAnsi="Times New Roman"/>
          <w:sz w:val="24"/>
          <w:szCs w:val="24"/>
        </w:rPr>
        <w:t>) × D/E]</w:t>
      </w:r>
    </w:p>
    <w:p w14:paraId="31DC3D1C" w14:textId="5B1726E9" w:rsidR="00656D3E" w:rsidRPr="006A5733" w:rsidRDefault="00656D3E" w:rsidP="00656D3E">
      <w:pPr>
        <w:pStyle w:val="NoSpacing"/>
        <w:rPr>
          <w:rFonts w:ascii="Times New Roman" w:hAnsi="Times New Roman"/>
          <w:sz w:val="24"/>
          <w:szCs w:val="24"/>
        </w:rPr>
      </w:pPr>
      <w:r w:rsidRPr="006A5733">
        <w:rPr>
          <w:rFonts w:ascii="Times New Roman" w:hAnsi="Times New Roman"/>
          <w:sz w:val="24"/>
          <w:szCs w:val="24"/>
        </w:rPr>
        <w:t xml:space="preserve">with computation of D/E based on the debt of </w:t>
      </w:r>
      <w:r>
        <w:rPr>
          <w:rFonts w:ascii="Times New Roman" w:hAnsi="Times New Roman"/>
          <w:sz w:val="24"/>
          <w:szCs w:val="24"/>
        </w:rPr>
        <w:t>$200</w:t>
      </w:r>
      <w:r w:rsidRPr="006A5733">
        <w:rPr>
          <w:rFonts w:ascii="Times New Roman" w:hAnsi="Times New Roman"/>
          <w:sz w:val="24"/>
          <w:szCs w:val="24"/>
        </w:rPr>
        <w:t xml:space="preserve"> and the enterprise value of </w:t>
      </w:r>
      <w:r>
        <w:rPr>
          <w:rFonts w:ascii="Times New Roman" w:hAnsi="Times New Roman"/>
          <w:sz w:val="24"/>
          <w:szCs w:val="24"/>
        </w:rPr>
        <w:t>$3800</w:t>
      </w:r>
      <w:r w:rsidRPr="006A5733">
        <w:rPr>
          <w:rFonts w:ascii="Times New Roman" w:hAnsi="Times New Roman"/>
          <w:sz w:val="24"/>
          <w:szCs w:val="24"/>
        </w:rPr>
        <w:t xml:space="preserve"> implied by the APV valuation. The latter formula is the one that prevails in a Modigliani–Miller setting in a world </w:t>
      </w:r>
      <w:r w:rsidRPr="006A5733">
        <w:rPr>
          <w:rFonts w:ascii="Times New Roman" w:hAnsi="Times New Roman"/>
          <w:i/>
          <w:iCs/>
          <w:sz w:val="24"/>
          <w:szCs w:val="24"/>
        </w:rPr>
        <w:t>with</w:t>
      </w:r>
      <w:r w:rsidRPr="006A5733">
        <w:rPr>
          <w:rFonts w:ascii="Times New Roman" w:hAnsi="Times New Roman"/>
          <w:sz w:val="24"/>
          <w:szCs w:val="24"/>
        </w:rPr>
        <w:t> taxes. In this case</w:t>
      </w:r>
      <w:r w:rsidR="007212D5">
        <w:rPr>
          <w:rFonts w:ascii="Times New Roman" w:hAnsi="Times New Roman"/>
          <w:sz w:val="24"/>
          <w:szCs w:val="24"/>
        </w:rPr>
        <w:t>, βe =1.05,</w:t>
      </w:r>
      <w:r w:rsidRPr="006A57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</w:t>
      </w:r>
      <w:r w:rsidRPr="006A5733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11.30% and WACC of 1</w:t>
      </w:r>
      <w:r w:rsidR="006E39A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%.</w:t>
      </w:r>
    </w:p>
    <w:p w14:paraId="37095B99" w14:textId="77777777" w:rsidR="00656D3E" w:rsidRDefault="00656D3E" w:rsidP="00656D3E">
      <w:pPr>
        <w:pStyle w:val="NoSpacing"/>
        <w:rPr>
          <w:rFonts w:ascii="Times New Roman" w:hAnsi="Times New Roman"/>
          <w:sz w:val="24"/>
          <w:szCs w:val="24"/>
        </w:rPr>
      </w:pPr>
    </w:p>
    <w:p w14:paraId="481544AA" w14:textId="77777777" w:rsidR="0058794C" w:rsidRPr="006A5733" w:rsidRDefault="0058794C" w:rsidP="006A573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ACFC7CD" w14:textId="7A2BE837" w:rsidR="006A5733" w:rsidRDefault="006A5733" w:rsidP="006A5733">
      <w:pPr>
        <w:pStyle w:val="NoSpacing"/>
        <w:rPr>
          <w:rFonts w:ascii="Times New Roman" w:eastAsia="Times New Roman" w:hAnsi="Times New Roman"/>
          <w:b/>
          <w:bCs/>
          <w:sz w:val="24"/>
          <w:szCs w:val="24"/>
        </w:rPr>
      </w:pPr>
      <w:r w:rsidRPr="006A5733">
        <w:rPr>
          <w:rFonts w:ascii="Times New Roman" w:eastAsia="Times New Roman" w:hAnsi="Times New Roman"/>
          <w:b/>
          <w:bCs/>
          <w:sz w:val="24"/>
          <w:szCs w:val="24"/>
        </w:rPr>
        <w:t>Table 2. Weighted average cost of capital (WACC) valuation</w:t>
      </w:r>
    </w:p>
    <w:tbl>
      <w:tblPr>
        <w:tblW w:w="8464" w:type="dxa"/>
        <w:tblLook w:val="04A0" w:firstRow="1" w:lastRow="0" w:firstColumn="1" w:lastColumn="0" w:noHBand="0" w:noVBand="1"/>
      </w:tblPr>
      <w:tblGrid>
        <w:gridCol w:w="3438"/>
        <w:gridCol w:w="1052"/>
        <w:gridCol w:w="1011"/>
        <w:gridCol w:w="1011"/>
        <w:gridCol w:w="1011"/>
        <w:gridCol w:w="1011"/>
      </w:tblGrid>
      <w:tr w:rsidR="0026025C" w:rsidRPr="0026025C" w14:paraId="3AB99243" w14:textId="77777777" w:rsidTr="007212D5">
        <w:trPr>
          <w:trHeight w:val="345"/>
        </w:trPr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750F27C8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61761792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A7315E2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C1B2A68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936D789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7F77113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26025C" w:rsidRPr="0026025C" w14:paraId="5D6F3468" w14:textId="77777777" w:rsidTr="007212D5">
        <w:trPr>
          <w:trHeight w:val="330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7C2CDC31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Growth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0084B6B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39423F62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3D866194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75A2F79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9DC2474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0%</w:t>
            </w:r>
          </w:p>
        </w:tc>
      </w:tr>
      <w:tr w:rsidR="0026025C" w:rsidRPr="0026025C" w14:paraId="27B79E4C" w14:textId="77777777" w:rsidTr="007212D5">
        <w:trPr>
          <w:trHeight w:val="330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E3A5173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FCFF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E53702E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120398E3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$396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2F0CFFD4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$396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20BF26CF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$396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0408EEA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26025C" w:rsidRPr="0026025C" w14:paraId="25540CDC" w14:textId="77777777" w:rsidTr="007212D5">
        <w:trPr>
          <w:trHeight w:val="330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4A4083AE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WACC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28087B49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86E6786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11.00%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E866EDF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11.00%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36585022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11.00%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7506EA36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11.00%</w:t>
            </w:r>
          </w:p>
        </w:tc>
      </w:tr>
      <w:tr w:rsidR="0026025C" w:rsidRPr="0026025C" w14:paraId="255FBE3F" w14:textId="77777777" w:rsidTr="007212D5">
        <w:trPr>
          <w:trHeight w:val="330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247E157C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Discount factor @ WACC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140B0D6B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70E6D69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0.9009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4F87F6B6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0.8117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2E108C58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0.7313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4BE4D8D8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26025C" w:rsidRPr="0026025C" w14:paraId="4A15A895" w14:textId="77777777" w:rsidTr="007212D5">
        <w:trPr>
          <w:trHeight w:val="330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5124051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PV of FCF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83A3D91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3D58AADC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$357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D9F82D5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$321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3B6ACEBD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$290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B8A0CB1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26025C" w:rsidRPr="0026025C" w14:paraId="71CC6B6D" w14:textId="77777777" w:rsidTr="007212D5">
        <w:trPr>
          <w:trHeight w:val="330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3BF14481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Total FCF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1DDE3AD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$967.77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8744362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F49D0C9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DDB5BC1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35BBF74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26025C" w:rsidRPr="0026025C" w14:paraId="5BF477B6" w14:textId="77777777" w:rsidTr="007212D5">
        <w:trPr>
          <w:trHeight w:val="330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4A422DD5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Terminal Value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7E51A52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B2FA2BD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D831C87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9EA4827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BDEC33A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$3,601</w:t>
            </w:r>
          </w:p>
        </w:tc>
      </w:tr>
      <w:tr w:rsidR="0026025C" w:rsidRPr="0026025C" w14:paraId="5DAE2D73" w14:textId="77777777" w:rsidTr="007212D5">
        <w:trPr>
          <w:trHeight w:val="330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4CA173D5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PV(TV)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8E58FBD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$2,633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9C82BF0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F4A6DB5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55F723A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9ADDAC3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26025C" w:rsidRPr="0026025C" w14:paraId="2715D2C2" w14:textId="77777777" w:rsidTr="007212D5">
        <w:trPr>
          <w:trHeight w:val="330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7E1280F8" w14:textId="7A1783EB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 xml:space="preserve">Market value of </w:t>
            </w:r>
            <w:r w:rsidR="007212D5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 xml:space="preserve">a </w:t>
            </w: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levered firm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26EAB563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$3,601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153D6438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F3A763B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30D6B6FC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3836BDA2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26025C" w:rsidRPr="0026025C" w14:paraId="73E0139E" w14:textId="77777777" w:rsidTr="007212D5">
        <w:trPr>
          <w:trHeight w:val="330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B432D54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Debt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2B2EA29E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$200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37215C98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15E9FADA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4C49498C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32975D39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26025C" w:rsidRPr="0026025C" w14:paraId="521F8E11" w14:textId="77777777" w:rsidTr="007212D5">
        <w:trPr>
          <w:trHeight w:val="330"/>
        </w:trPr>
        <w:tc>
          <w:tcPr>
            <w:tcW w:w="34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hideMark/>
          </w:tcPr>
          <w:p w14:paraId="765D9246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EC18D9F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2631940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ECC9C45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A93CBBF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2FC3F91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26025C" w:rsidRPr="0026025C" w14:paraId="7721594A" w14:textId="77777777" w:rsidTr="007212D5">
        <w:trPr>
          <w:trHeight w:val="330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1F9A0DB3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lastRenderedPageBreak/>
              <w:t>Market value of equity (MVE)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740C589A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$3,601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18AFFE37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32B8379B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603A14EA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2F414C85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26025C" w:rsidRPr="0026025C" w14:paraId="2E1B0DBF" w14:textId="77777777" w:rsidTr="007212D5">
        <w:trPr>
          <w:trHeight w:val="330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56B56F4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Price per share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1F3BE36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$12.00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ED4E2DA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80F98BD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96378CD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81E5120" w14:textId="77777777" w:rsidR="0026025C" w:rsidRPr="0026025C" w:rsidRDefault="0026025C" w:rsidP="0026025C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26025C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66E967AE" w14:textId="77777777" w:rsidR="00491360" w:rsidRPr="006A5733" w:rsidRDefault="00491360" w:rsidP="006A5733">
      <w:pPr>
        <w:pStyle w:val="NoSpacing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339C35A" w14:textId="77777777" w:rsidR="00E36076" w:rsidRDefault="00E36076" w:rsidP="006A573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E32ECA4" w14:textId="6007CD1C" w:rsidR="006A5733" w:rsidRPr="006A5733" w:rsidRDefault="006E39A6" w:rsidP="006A573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APV with</w:t>
      </w:r>
      <w:r w:rsidR="006A5733" w:rsidRPr="006A5733">
        <w:rPr>
          <w:rFonts w:ascii="Times New Roman" w:hAnsi="Times New Roman"/>
          <w:b/>
          <w:bCs/>
          <w:sz w:val="24"/>
          <w:szCs w:val="24"/>
        </w:rPr>
        <w:t xml:space="preserve"> Debt Varies with the Value of the Assets</w:t>
      </w: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6A5733" w:rsidRPr="006A5733">
        <w:rPr>
          <w:rFonts w:ascii="Times New Roman" w:hAnsi="Times New Roman"/>
          <w:b/>
          <w:bCs/>
          <w:sz w:val="24"/>
          <w:szCs w:val="24"/>
        </w:rPr>
        <w:t>Impact on the Discount Rates</w:t>
      </w:r>
    </w:p>
    <w:p w14:paraId="2EF794E3" w14:textId="77777777" w:rsidR="00656D3E" w:rsidRDefault="00656D3E" w:rsidP="006A5733">
      <w:pPr>
        <w:pStyle w:val="NoSpacing"/>
        <w:rPr>
          <w:rFonts w:ascii="Times New Roman" w:hAnsi="Times New Roman"/>
          <w:sz w:val="24"/>
          <w:szCs w:val="24"/>
        </w:rPr>
      </w:pPr>
    </w:p>
    <w:p w14:paraId="77F600D3" w14:textId="77777777" w:rsidR="006E39A6" w:rsidRDefault="006A5733" w:rsidP="006A5733">
      <w:pPr>
        <w:pStyle w:val="NoSpacing"/>
        <w:rPr>
          <w:rFonts w:ascii="Times New Roman" w:hAnsi="Times New Roman"/>
          <w:sz w:val="24"/>
          <w:szCs w:val="24"/>
        </w:rPr>
      </w:pPr>
      <w:r w:rsidRPr="006A5733">
        <w:rPr>
          <w:rFonts w:ascii="Times New Roman" w:hAnsi="Times New Roman"/>
          <w:sz w:val="24"/>
          <w:szCs w:val="24"/>
        </w:rPr>
        <w:t xml:space="preserve">Continue to assume an expected growth of 0%, but now replace the assumption that the firm will maintain a fixed debt level equal to </w:t>
      </w:r>
      <w:r w:rsidR="00E36076">
        <w:rPr>
          <w:rFonts w:ascii="Times New Roman" w:hAnsi="Times New Roman"/>
          <w:sz w:val="24"/>
          <w:szCs w:val="24"/>
        </w:rPr>
        <w:t>$200</w:t>
      </w:r>
      <w:r w:rsidRPr="006A5733">
        <w:rPr>
          <w:rFonts w:ascii="Times New Roman" w:hAnsi="Times New Roman"/>
          <w:sz w:val="24"/>
          <w:szCs w:val="24"/>
        </w:rPr>
        <w:t xml:space="preserve"> over time by the assumption that it will maintain a constant proportion of debt to enterprise value (D/</w:t>
      </w:r>
      <w:r w:rsidR="00E36076">
        <w:rPr>
          <w:rFonts w:ascii="Times New Roman" w:hAnsi="Times New Roman"/>
          <w:sz w:val="24"/>
          <w:szCs w:val="24"/>
        </w:rPr>
        <w:t>V</w:t>
      </w:r>
      <w:r w:rsidRPr="006A5733">
        <w:rPr>
          <w:rFonts w:ascii="Times New Roman" w:hAnsi="Times New Roman"/>
          <w:sz w:val="24"/>
          <w:szCs w:val="24"/>
        </w:rPr>
        <w:t>) equal to 20%</w:t>
      </w:r>
      <w:r w:rsidR="006E39A6">
        <w:rPr>
          <w:rFonts w:ascii="Times New Roman" w:hAnsi="Times New Roman"/>
          <w:sz w:val="24"/>
          <w:szCs w:val="24"/>
        </w:rPr>
        <w:t>.</w:t>
      </w:r>
    </w:p>
    <w:p w14:paraId="5F2335E2" w14:textId="77777777" w:rsidR="006E39A6" w:rsidRDefault="006E39A6" w:rsidP="006A5733">
      <w:pPr>
        <w:pStyle w:val="NoSpacing"/>
        <w:rPr>
          <w:rFonts w:ascii="Times New Roman" w:hAnsi="Times New Roman"/>
          <w:sz w:val="24"/>
          <w:szCs w:val="24"/>
        </w:rPr>
      </w:pPr>
    </w:p>
    <w:p w14:paraId="42AD2A2B" w14:textId="2F6C0C5E" w:rsidR="006A5733" w:rsidRPr="006A5733" w:rsidRDefault="006A5733" w:rsidP="006A5733">
      <w:pPr>
        <w:pStyle w:val="NoSpacing"/>
        <w:rPr>
          <w:rFonts w:ascii="Times New Roman" w:hAnsi="Times New Roman"/>
          <w:sz w:val="24"/>
          <w:szCs w:val="24"/>
        </w:rPr>
      </w:pPr>
      <w:r w:rsidRPr="006A5733">
        <w:rPr>
          <w:rFonts w:ascii="Times New Roman" w:hAnsi="Times New Roman"/>
          <w:sz w:val="24"/>
          <w:szCs w:val="24"/>
        </w:rPr>
        <w:t xml:space="preserve">The </w:t>
      </w:r>
      <w:r w:rsidR="006E39A6">
        <w:rPr>
          <w:rFonts w:ascii="Times New Roman" w:hAnsi="Times New Roman"/>
          <w:sz w:val="24"/>
          <w:szCs w:val="24"/>
        </w:rPr>
        <w:t>result is</w:t>
      </w:r>
      <w:r w:rsidRPr="006A5733">
        <w:rPr>
          <w:rFonts w:ascii="Times New Roman" w:hAnsi="Times New Roman"/>
          <w:sz w:val="24"/>
          <w:szCs w:val="24"/>
        </w:rPr>
        <w:t xml:space="preserve"> as follows:</w:t>
      </w:r>
    </w:p>
    <w:p w14:paraId="08377E41" w14:textId="16F8F63A" w:rsidR="006A5733" w:rsidRPr="006A5733" w:rsidRDefault="006A5733" w:rsidP="006A5733">
      <w:pPr>
        <w:pStyle w:val="NoSpacing"/>
        <w:rPr>
          <w:rFonts w:ascii="Times New Roman" w:hAnsi="Times New Roman"/>
          <w:sz w:val="24"/>
          <w:szCs w:val="24"/>
        </w:rPr>
      </w:pPr>
      <w:r w:rsidRPr="006A5733">
        <w:rPr>
          <w:rFonts w:ascii="Times New Roman" w:hAnsi="Times New Roman"/>
          <w:sz w:val="24"/>
          <w:szCs w:val="24"/>
        </w:rPr>
        <w:t xml:space="preserve">Tax </w:t>
      </w:r>
      <w:r w:rsidR="006E39A6">
        <w:rPr>
          <w:rFonts w:ascii="Times New Roman" w:hAnsi="Times New Roman"/>
          <w:sz w:val="24"/>
          <w:szCs w:val="24"/>
        </w:rPr>
        <w:t>shield</w:t>
      </w:r>
      <w:r w:rsidRPr="006A5733">
        <w:rPr>
          <w:rFonts w:ascii="Times New Roman" w:hAnsi="Times New Roman"/>
          <w:sz w:val="24"/>
          <w:szCs w:val="24"/>
        </w:rPr>
        <w:t xml:space="preserve"> beyond year 1 </w:t>
      </w:r>
      <w:r w:rsidR="007212D5">
        <w:rPr>
          <w:rFonts w:ascii="Times New Roman" w:hAnsi="Times New Roman"/>
          <w:sz w:val="24"/>
          <w:szCs w:val="24"/>
        </w:rPr>
        <w:t>is</w:t>
      </w:r>
      <w:r w:rsidRPr="006A5733">
        <w:rPr>
          <w:rFonts w:ascii="Times New Roman" w:hAnsi="Times New Roman"/>
          <w:sz w:val="24"/>
          <w:szCs w:val="24"/>
        </w:rPr>
        <w:t xml:space="preserve"> now a function of the actual debt levels realized in the future, which are themselves a function of the actual free cash </w:t>
      </w:r>
      <w:proofErr w:type="gramStart"/>
      <w:r w:rsidRPr="006A5733">
        <w:rPr>
          <w:rFonts w:ascii="Times New Roman" w:hAnsi="Times New Roman"/>
          <w:sz w:val="24"/>
          <w:szCs w:val="24"/>
        </w:rPr>
        <w:t>flows</w:t>
      </w:r>
      <w:proofErr w:type="gramEnd"/>
      <w:r w:rsidRPr="006A5733">
        <w:rPr>
          <w:rFonts w:ascii="Times New Roman" w:hAnsi="Times New Roman"/>
          <w:sz w:val="24"/>
          <w:szCs w:val="24"/>
        </w:rPr>
        <w:t xml:space="preserve">. This implies that </w:t>
      </w:r>
      <w:r w:rsidR="006E39A6">
        <w:rPr>
          <w:rFonts w:ascii="Times New Roman" w:hAnsi="Times New Roman"/>
          <w:sz w:val="24"/>
          <w:szCs w:val="24"/>
        </w:rPr>
        <w:t>tax shield</w:t>
      </w:r>
      <w:r w:rsidRPr="006A5733">
        <w:rPr>
          <w:rFonts w:ascii="Times New Roman" w:hAnsi="Times New Roman"/>
          <w:sz w:val="24"/>
          <w:szCs w:val="24"/>
        </w:rPr>
        <w:t xml:space="preserve">s beyond year 1 have the same probability distribution, and therefore the same risk, as the value of the assets. </w:t>
      </w:r>
      <w:r w:rsidR="007212D5">
        <w:rPr>
          <w:rFonts w:ascii="Times New Roman" w:hAnsi="Times New Roman"/>
          <w:sz w:val="24"/>
          <w:szCs w:val="24"/>
        </w:rPr>
        <w:t>Thus</w:t>
      </w:r>
      <w:r w:rsidRPr="006A5733">
        <w:rPr>
          <w:rFonts w:ascii="Times New Roman" w:hAnsi="Times New Roman"/>
          <w:sz w:val="24"/>
          <w:szCs w:val="24"/>
        </w:rPr>
        <w:t>, from year 2 onwards</w:t>
      </w:r>
      <w:r w:rsidR="007212D5">
        <w:rPr>
          <w:rFonts w:ascii="Times New Roman" w:hAnsi="Times New Roman"/>
          <w:sz w:val="24"/>
          <w:szCs w:val="24"/>
        </w:rPr>
        <w:t>,</w:t>
      </w:r>
      <w:r w:rsidRPr="006A5733">
        <w:rPr>
          <w:rFonts w:ascii="Times New Roman" w:hAnsi="Times New Roman"/>
          <w:sz w:val="24"/>
          <w:szCs w:val="24"/>
        </w:rPr>
        <w:t xml:space="preserve"> an APV valuation now needs to discount </w:t>
      </w:r>
      <w:r w:rsidR="004264D3">
        <w:rPr>
          <w:rFonts w:ascii="Times New Roman" w:hAnsi="Times New Roman"/>
          <w:sz w:val="24"/>
          <w:szCs w:val="24"/>
        </w:rPr>
        <w:t>tax shield</w:t>
      </w:r>
      <w:r w:rsidR="004264D3" w:rsidRPr="006A5733">
        <w:rPr>
          <w:rFonts w:ascii="Times New Roman" w:hAnsi="Times New Roman"/>
          <w:sz w:val="24"/>
          <w:szCs w:val="24"/>
        </w:rPr>
        <w:t xml:space="preserve">s </w:t>
      </w:r>
      <w:r w:rsidRPr="006A5733">
        <w:rPr>
          <w:rFonts w:ascii="Times New Roman" w:hAnsi="Times New Roman"/>
          <w:sz w:val="24"/>
          <w:szCs w:val="24"/>
        </w:rPr>
        <w:t xml:space="preserve">at the rate </w:t>
      </w:r>
      <w:r w:rsidR="00E36076">
        <w:rPr>
          <w:rFonts w:ascii="Times New Roman" w:hAnsi="Times New Roman"/>
          <w:sz w:val="24"/>
          <w:szCs w:val="24"/>
        </w:rPr>
        <w:t>R</w:t>
      </w:r>
      <w:r w:rsidRPr="006A5733">
        <w:rPr>
          <w:rFonts w:ascii="Times New Roman" w:hAnsi="Times New Roman"/>
          <w:sz w:val="24"/>
          <w:szCs w:val="24"/>
          <w:vertAlign w:val="subscript"/>
        </w:rPr>
        <w:t>u</w:t>
      </w:r>
      <w:r w:rsidRPr="006A5733">
        <w:rPr>
          <w:rFonts w:ascii="Times New Roman" w:hAnsi="Times New Roman"/>
          <w:sz w:val="24"/>
          <w:szCs w:val="24"/>
        </w:rPr>
        <w:t xml:space="preserve">, which reflects the risk of the assets, rather than at the cost of debt, </w:t>
      </w:r>
      <w:r w:rsidR="00E36076">
        <w:rPr>
          <w:rFonts w:ascii="Times New Roman" w:hAnsi="Times New Roman"/>
          <w:sz w:val="24"/>
          <w:szCs w:val="24"/>
        </w:rPr>
        <w:t>Rd</w:t>
      </w:r>
      <w:r w:rsidRPr="006A5733">
        <w:rPr>
          <w:rFonts w:ascii="Times New Roman" w:hAnsi="Times New Roman"/>
          <w:sz w:val="24"/>
          <w:szCs w:val="24"/>
        </w:rPr>
        <w:t>.</w:t>
      </w:r>
    </w:p>
    <w:p w14:paraId="655F2C68" w14:textId="77777777" w:rsidR="004264D3" w:rsidRDefault="004264D3" w:rsidP="006A5733">
      <w:pPr>
        <w:pStyle w:val="NoSpacing"/>
        <w:rPr>
          <w:rFonts w:ascii="Times New Roman" w:hAnsi="Times New Roman"/>
          <w:sz w:val="24"/>
          <w:szCs w:val="24"/>
        </w:rPr>
      </w:pPr>
    </w:p>
    <w:p w14:paraId="53F333CB" w14:textId="680F791D" w:rsidR="006A5733" w:rsidRPr="006A5733" w:rsidRDefault="006A5733" w:rsidP="006A5733">
      <w:pPr>
        <w:pStyle w:val="NoSpacing"/>
        <w:rPr>
          <w:rFonts w:ascii="Times New Roman" w:hAnsi="Times New Roman"/>
          <w:sz w:val="24"/>
          <w:szCs w:val="24"/>
        </w:rPr>
      </w:pPr>
      <w:r w:rsidRPr="006A5733">
        <w:rPr>
          <w:rFonts w:ascii="Times New Roman" w:hAnsi="Times New Roman"/>
          <w:sz w:val="24"/>
          <w:szCs w:val="24"/>
        </w:rPr>
        <w:t xml:space="preserve">Equity is no longer partially protected in a downturn by a fixed level of the tax shield, </w:t>
      </w:r>
      <w:r w:rsidR="007212D5">
        <w:rPr>
          <w:rFonts w:ascii="Times New Roman" w:hAnsi="Times New Roman"/>
          <w:sz w:val="24"/>
          <w:szCs w:val="24"/>
        </w:rPr>
        <w:t>as it adjusts to the lower value of the assets. It</w:t>
      </w:r>
      <w:r w:rsidRPr="006A5733">
        <w:rPr>
          <w:rFonts w:ascii="Times New Roman" w:hAnsi="Times New Roman"/>
          <w:sz w:val="24"/>
          <w:szCs w:val="24"/>
        </w:rPr>
        <w:t xml:space="preserve"> benefits more than before in an upturn, but, given investors’ risk-aversion, this does not compensate. As a result, equity holders now require a higher return, </w:t>
      </w:r>
      <w:r w:rsidR="00E36076">
        <w:rPr>
          <w:rFonts w:ascii="Times New Roman" w:hAnsi="Times New Roman"/>
          <w:sz w:val="24"/>
          <w:szCs w:val="24"/>
        </w:rPr>
        <w:t>Re</w:t>
      </w:r>
      <w:r w:rsidRPr="006A5733">
        <w:rPr>
          <w:rFonts w:ascii="Times New Roman" w:hAnsi="Times New Roman"/>
          <w:sz w:val="24"/>
          <w:szCs w:val="24"/>
        </w:rPr>
        <w:t xml:space="preserve">. The </w:t>
      </w:r>
      <w:r w:rsidR="004264D3">
        <w:rPr>
          <w:rFonts w:ascii="Times New Roman" w:hAnsi="Times New Roman"/>
          <w:sz w:val="24"/>
          <w:szCs w:val="24"/>
        </w:rPr>
        <w:t>Re</w:t>
      </w:r>
      <w:r w:rsidRPr="006A5733">
        <w:rPr>
          <w:rFonts w:ascii="Times New Roman" w:hAnsi="Times New Roman"/>
          <w:sz w:val="24"/>
          <w:szCs w:val="24"/>
        </w:rPr>
        <w:t xml:space="preserve"> can be derived using the following formula:</w:t>
      </w:r>
    </w:p>
    <w:p w14:paraId="3416C4B8" w14:textId="764D57B1" w:rsidR="006A5733" w:rsidRPr="006A5733" w:rsidRDefault="00E36076" w:rsidP="004264D3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264D3">
        <w:rPr>
          <w:rFonts w:ascii="Times New Roman" w:eastAsia="Times New Roman" w:hAnsi="Times New Roman"/>
          <w:bCs/>
          <w:sz w:val="24"/>
          <w:szCs w:val="24"/>
        </w:rPr>
        <w:t>Re</w:t>
      </w:r>
      <w:r w:rsidR="006A5733" w:rsidRPr="006A5733">
        <w:rPr>
          <w:rFonts w:ascii="Times New Roman" w:eastAsia="Times New Roman" w:hAnsi="Times New Roman"/>
          <w:b/>
          <w:bCs/>
          <w:sz w:val="24"/>
          <w:szCs w:val="24"/>
        </w:rPr>
        <w:t xml:space="preserve"> = </w:t>
      </w:r>
      <w:r w:rsidR="006A5733" w:rsidRPr="006A5733">
        <w:rPr>
          <w:rFonts w:ascii="Times New Roman" w:eastAsia="Times New Roman" w:hAnsi="Times New Roman"/>
          <w:i/>
          <w:iCs/>
          <w:sz w:val="24"/>
          <w:szCs w:val="24"/>
        </w:rPr>
        <w:t>R</w:t>
      </w:r>
      <w:r w:rsidR="006A5733" w:rsidRPr="006A5733">
        <w:rPr>
          <w:rFonts w:ascii="Times New Roman" w:eastAsia="Times New Roman" w:hAnsi="Times New Roman"/>
          <w:b/>
          <w:bCs/>
          <w:sz w:val="24"/>
          <w:szCs w:val="24"/>
          <w:vertAlign w:val="subscript"/>
        </w:rPr>
        <w:t>f</w:t>
      </w:r>
      <w:r w:rsidR="006A5733" w:rsidRPr="006A5733">
        <w:rPr>
          <w:rFonts w:ascii="Times New Roman" w:eastAsia="Times New Roman" w:hAnsi="Times New Roman"/>
          <w:b/>
          <w:bCs/>
          <w:sz w:val="24"/>
          <w:szCs w:val="24"/>
        </w:rPr>
        <w:t> + </w:t>
      </w:r>
      <w:r w:rsidR="006A5733" w:rsidRPr="006A5733">
        <w:rPr>
          <w:rFonts w:ascii="Times New Roman" w:eastAsia="Times New Roman" w:hAnsi="Times New Roman"/>
          <w:i/>
          <w:iCs/>
          <w:sz w:val="24"/>
          <w:szCs w:val="24"/>
        </w:rPr>
        <w:t>β</w:t>
      </w:r>
      <w:r w:rsidR="006A5733" w:rsidRPr="006A5733">
        <w:rPr>
          <w:rFonts w:ascii="Times New Roman" w:eastAsia="Times New Roman" w:hAnsi="Times New Roman"/>
          <w:b/>
          <w:bCs/>
          <w:sz w:val="24"/>
          <w:szCs w:val="24"/>
          <w:vertAlign w:val="subscript"/>
        </w:rPr>
        <w:t>e</w:t>
      </w:r>
      <w:r w:rsidR="006A5733" w:rsidRPr="006A5733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="004264D3">
        <w:rPr>
          <w:rFonts w:ascii="Times New Roman" w:eastAsia="Times New Roman" w:hAnsi="Times New Roman"/>
          <w:b/>
          <w:bCs/>
          <w:sz w:val="24"/>
          <w:szCs w:val="24"/>
        </w:rPr>
        <w:t>(</w:t>
      </w:r>
      <w:r w:rsidR="004264D3" w:rsidRPr="004264D3">
        <w:rPr>
          <w:rFonts w:ascii="Times New Roman" w:eastAsia="Times New Roman" w:hAnsi="Times New Roman"/>
          <w:bCs/>
          <w:sz w:val="24"/>
          <w:szCs w:val="24"/>
        </w:rPr>
        <w:t>MRP</w:t>
      </w:r>
      <w:r w:rsidR="004264D3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14:paraId="77C9853C" w14:textId="4C81B409" w:rsidR="006A5733" w:rsidRPr="00577C37" w:rsidRDefault="00577C37" w:rsidP="006A5733">
      <w:pPr>
        <w:pStyle w:val="NoSpacing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A5733" w:rsidRPr="006A5733">
        <w:rPr>
          <w:rFonts w:ascii="Times New Roman" w:hAnsi="Times New Roman"/>
          <w:sz w:val="24"/>
          <w:szCs w:val="24"/>
        </w:rPr>
        <w:t>nd</w:t>
      </w:r>
      <w:r w:rsidR="00E36076">
        <w:rPr>
          <w:rFonts w:ascii="Times New Roman" w:hAnsi="Times New Roman"/>
          <w:sz w:val="24"/>
          <w:szCs w:val="24"/>
        </w:rPr>
        <w:t xml:space="preserve"> </w:t>
      </w:r>
      <w:r w:rsidR="006A5733" w:rsidRPr="006A5733">
        <w:rPr>
          <w:rFonts w:ascii="Times New Roman" w:eastAsia="Times New Roman" w:hAnsi="Times New Roman"/>
          <w:i/>
          <w:iCs/>
          <w:sz w:val="24"/>
          <w:szCs w:val="24"/>
        </w:rPr>
        <w:t>β</w:t>
      </w:r>
      <w:r w:rsidR="006A5733" w:rsidRPr="006A5733">
        <w:rPr>
          <w:rFonts w:ascii="Times New Roman" w:eastAsia="Times New Roman" w:hAnsi="Times New Roman"/>
          <w:b/>
          <w:bCs/>
          <w:sz w:val="24"/>
          <w:szCs w:val="24"/>
          <w:vertAlign w:val="subscript"/>
        </w:rPr>
        <w:t>e</w:t>
      </w:r>
      <w:r w:rsidR="006A5733" w:rsidRPr="006A5733">
        <w:rPr>
          <w:rFonts w:ascii="Times New Roman" w:eastAsia="Times New Roman" w:hAnsi="Times New Roman"/>
          <w:b/>
          <w:bCs/>
          <w:sz w:val="24"/>
          <w:szCs w:val="24"/>
        </w:rPr>
        <w:t> = </w:t>
      </w:r>
      <w:r w:rsidR="006A5733" w:rsidRPr="006A5733">
        <w:rPr>
          <w:rFonts w:ascii="Times New Roman" w:eastAsia="Times New Roman" w:hAnsi="Times New Roman"/>
          <w:i/>
          <w:iCs/>
          <w:sz w:val="24"/>
          <w:szCs w:val="24"/>
        </w:rPr>
        <w:t>β</w:t>
      </w:r>
      <w:r w:rsidR="006A5733" w:rsidRPr="004D5307">
        <w:rPr>
          <w:rFonts w:ascii="Times New Roman" w:eastAsia="Times New Roman" w:hAnsi="Times New Roman"/>
          <w:bCs/>
          <w:sz w:val="24"/>
          <w:szCs w:val="24"/>
          <w:vertAlign w:val="subscript"/>
        </w:rPr>
        <w:t>u</w:t>
      </w:r>
      <w:r w:rsidR="004264D3">
        <w:rPr>
          <w:rFonts w:ascii="Times New Roman" w:eastAsia="Times New Roman" w:hAnsi="Times New Roman"/>
          <w:bCs/>
          <w:sz w:val="24"/>
          <w:szCs w:val="24"/>
          <w:vertAlign w:val="subscript"/>
        </w:rPr>
        <w:t xml:space="preserve"> [</w:t>
      </w:r>
      <w:r w:rsidR="006A5733" w:rsidRPr="006A5733">
        <w:rPr>
          <w:rFonts w:ascii="Times New Roman" w:eastAsia="Times New Roman" w:hAnsi="Times New Roman"/>
          <w:b/>
          <w:bCs/>
          <w:sz w:val="24"/>
          <w:szCs w:val="24"/>
        </w:rPr>
        <w:t>(</w:t>
      </w:r>
      <w:r w:rsidR="006A5733" w:rsidRPr="004D5307">
        <w:rPr>
          <w:rFonts w:ascii="Times New Roman" w:eastAsia="Times New Roman" w:hAnsi="Times New Roman"/>
          <w:bCs/>
          <w:sz w:val="24"/>
          <w:szCs w:val="24"/>
        </w:rPr>
        <w:t xml:space="preserve">1 + </w:t>
      </w:r>
      <w:r w:rsidR="004264D3">
        <w:rPr>
          <w:rFonts w:ascii="Times New Roman" w:eastAsia="Times New Roman" w:hAnsi="Times New Roman"/>
          <w:bCs/>
          <w:sz w:val="24"/>
          <w:szCs w:val="24"/>
        </w:rPr>
        <w:t>(</w:t>
      </w:r>
      <w:r w:rsidR="006A5733" w:rsidRPr="004D5307">
        <w:rPr>
          <w:rFonts w:ascii="Times New Roman" w:eastAsia="Times New Roman" w:hAnsi="Times New Roman"/>
          <w:bCs/>
          <w:sz w:val="24"/>
          <w:szCs w:val="24"/>
        </w:rPr>
        <w:t>D/</w:t>
      </w:r>
      <w:r w:rsidR="004D5307" w:rsidRPr="004D5307">
        <w:rPr>
          <w:rFonts w:ascii="Times New Roman" w:eastAsia="Times New Roman" w:hAnsi="Times New Roman"/>
          <w:bCs/>
          <w:sz w:val="24"/>
          <w:szCs w:val="24"/>
        </w:rPr>
        <w:t>E</w:t>
      </w:r>
      <w:r w:rsidR="006A5733" w:rsidRPr="006A5733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4264D3">
        <w:rPr>
          <w:rFonts w:ascii="Times New Roman" w:eastAsia="Times New Roman" w:hAnsi="Times New Roman"/>
          <w:b/>
          <w:bCs/>
          <w:sz w:val="24"/>
          <w:szCs w:val="24"/>
        </w:rPr>
        <w:t>]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6A5733" w:rsidRPr="006A5733">
        <w:rPr>
          <w:rFonts w:ascii="Times New Roman" w:hAnsi="Times New Roman"/>
          <w:sz w:val="24"/>
          <w:szCs w:val="24"/>
        </w:rPr>
        <w:t>with computation of D/</w:t>
      </w:r>
      <w:r>
        <w:rPr>
          <w:rFonts w:ascii="Times New Roman" w:hAnsi="Times New Roman"/>
          <w:sz w:val="24"/>
          <w:szCs w:val="24"/>
        </w:rPr>
        <w:t>V</w:t>
      </w:r>
      <w:r w:rsidR="006A5733" w:rsidRPr="006A5733">
        <w:rPr>
          <w:rFonts w:ascii="Times New Roman" w:hAnsi="Times New Roman"/>
          <w:sz w:val="24"/>
          <w:szCs w:val="24"/>
        </w:rPr>
        <w:t xml:space="preserve"> based on the target D/</w:t>
      </w:r>
      <w:r>
        <w:rPr>
          <w:rFonts w:ascii="Times New Roman" w:hAnsi="Times New Roman"/>
          <w:sz w:val="24"/>
          <w:szCs w:val="24"/>
        </w:rPr>
        <w:t>V</w:t>
      </w:r>
      <w:r w:rsidR="006A5733" w:rsidRPr="006A5733">
        <w:rPr>
          <w:rFonts w:ascii="Times New Roman" w:hAnsi="Times New Roman"/>
          <w:sz w:val="24"/>
          <w:szCs w:val="24"/>
        </w:rPr>
        <w:t xml:space="preserve"> ratio of 20%. In this case</w:t>
      </w:r>
      <w:r w:rsidR="007212D5">
        <w:rPr>
          <w:rFonts w:ascii="Times New Roman" w:hAnsi="Times New Roman"/>
          <w:sz w:val="24"/>
          <w:szCs w:val="24"/>
        </w:rPr>
        <w:t>,</w:t>
      </w:r>
      <w:r w:rsidR="006A5733" w:rsidRPr="006A5733">
        <w:rPr>
          <w:rFonts w:ascii="Times New Roman" w:hAnsi="Times New Roman"/>
          <w:sz w:val="24"/>
          <w:szCs w:val="24"/>
        </w:rPr>
        <w:t> </w:t>
      </w:r>
      <w:r w:rsidR="006A5733" w:rsidRPr="006A5733">
        <w:rPr>
          <w:rFonts w:ascii="Times New Roman" w:hAnsi="Times New Roman"/>
          <w:i/>
          <w:iCs/>
          <w:sz w:val="24"/>
          <w:szCs w:val="24"/>
        </w:rPr>
        <w:t>β</w:t>
      </w:r>
      <w:r w:rsidR="006A5733" w:rsidRPr="006A5733">
        <w:rPr>
          <w:rFonts w:ascii="Times New Roman" w:hAnsi="Times New Roman"/>
          <w:sz w:val="24"/>
          <w:szCs w:val="24"/>
          <w:vertAlign w:val="subscript"/>
        </w:rPr>
        <w:t>e</w:t>
      </w:r>
      <w:r w:rsidR="006A5733" w:rsidRPr="006A5733">
        <w:rPr>
          <w:rFonts w:ascii="Times New Roman" w:hAnsi="Times New Roman"/>
          <w:sz w:val="24"/>
          <w:szCs w:val="24"/>
        </w:rPr>
        <w:t> = 1.</w:t>
      </w:r>
      <w:r w:rsidR="00656D3E">
        <w:rPr>
          <w:rFonts w:ascii="Times New Roman" w:hAnsi="Times New Roman"/>
          <w:sz w:val="24"/>
          <w:szCs w:val="24"/>
        </w:rPr>
        <w:t>25</w:t>
      </w:r>
      <w:r w:rsidR="006A5733" w:rsidRPr="006A5733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Re</w:t>
      </w:r>
      <w:r w:rsidR="006A5733" w:rsidRPr="006A5733">
        <w:rPr>
          <w:rFonts w:ascii="Times New Roman" w:hAnsi="Times New Roman"/>
          <w:sz w:val="24"/>
          <w:szCs w:val="24"/>
        </w:rPr>
        <w:t xml:space="preserve"> = 12.</w:t>
      </w:r>
      <w:r w:rsidR="00656D3E">
        <w:rPr>
          <w:rFonts w:ascii="Times New Roman" w:hAnsi="Times New Roman"/>
          <w:sz w:val="24"/>
          <w:szCs w:val="24"/>
        </w:rPr>
        <w:t>5</w:t>
      </w:r>
      <w:r w:rsidR="006A5733" w:rsidRPr="006A5733">
        <w:rPr>
          <w:rFonts w:ascii="Times New Roman" w:hAnsi="Times New Roman"/>
          <w:sz w:val="24"/>
          <w:szCs w:val="24"/>
        </w:rPr>
        <w:t>%</w:t>
      </w:r>
      <w:r w:rsidR="00656D3E">
        <w:rPr>
          <w:rFonts w:ascii="Times New Roman" w:hAnsi="Times New Roman"/>
          <w:sz w:val="24"/>
          <w:szCs w:val="24"/>
        </w:rPr>
        <w:t xml:space="preserve"> and WACC of 1</w:t>
      </w:r>
      <w:r w:rsidR="00D32BC1">
        <w:rPr>
          <w:rFonts w:ascii="Times New Roman" w:hAnsi="Times New Roman"/>
          <w:sz w:val="24"/>
          <w:szCs w:val="24"/>
        </w:rPr>
        <w:t>0.49</w:t>
      </w:r>
      <w:r w:rsidR="00656D3E">
        <w:rPr>
          <w:rFonts w:ascii="Times New Roman" w:hAnsi="Times New Roman"/>
          <w:sz w:val="24"/>
          <w:szCs w:val="24"/>
        </w:rPr>
        <w:t>%</w:t>
      </w:r>
      <w:r w:rsidR="006A5733" w:rsidRPr="006A5733">
        <w:rPr>
          <w:rFonts w:ascii="Times New Roman" w:hAnsi="Times New Roman"/>
          <w:sz w:val="24"/>
          <w:szCs w:val="24"/>
        </w:rPr>
        <w:t>. Note that the formula for the </w:t>
      </w:r>
      <w:r w:rsidR="006A5733" w:rsidRPr="006A5733">
        <w:rPr>
          <w:rFonts w:ascii="Times New Roman" w:hAnsi="Times New Roman"/>
          <w:i/>
          <w:iCs/>
          <w:sz w:val="24"/>
          <w:szCs w:val="24"/>
        </w:rPr>
        <w:t>β</w:t>
      </w:r>
      <w:r w:rsidR="006A5733" w:rsidRPr="006A5733">
        <w:rPr>
          <w:rFonts w:ascii="Times New Roman" w:hAnsi="Times New Roman"/>
          <w:sz w:val="24"/>
          <w:szCs w:val="24"/>
          <w:vertAlign w:val="subscript"/>
        </w:rPr>
        <w:t>e</w:t>
      </w:r>
      <w:r w:rsidR="006A5733" w:rsidRPr="006A5733">
        <w:rPr>
          <w:rFonts w:ascii="Times New Roman" w:hAnsi="Times New Roman"/>
          <w:sz w:val="24"/>
          <w:szCs w:val="24"/>
        </w:rPr>
        <w:t xml:space="preserve"> computation is no longer the same as </w:t>
      </w:r>
      <w:r w:rsidR="0077533E" w:rsidRPr="006A5733">
        <w:rPr>
          <w:rFonts w:ascii="Times New Roman" w:hAnsi="Times New Roman"/>
          <w:sz w:val="24"/>
          <w:szCs w:val="24"/>
        </w:rPr>
        <w:t>before</w:t>
      </w:r>
      <w:r w:rsidR="0077533E">
        <w:rPr>
          <w:rFonts w:ascii="Times New Roman" w:hAnsi="Times New Roman"/>
          <w:sz w:val="24"/>
          <w:szCs w:val="24"/>
        </w:rPr>
        <w:t xml:space="preserve"> but</w:t>
      </w:r>
      <w:r w:rsidR="006A5733" w:rsidRPr="006A5733">
        <w:rPr>
          <w:rFonts w:ascii="Times New Roman" w:hAnsi="Times New Roman"/>
          <w:sz w:val="24"/>
          <w:szCs w:val="24"/>
        </w:rPr>
        <w:t xml:space="preserve"> is now identical to the one </w:t>
      </w:r>
      <w:r w:rsidR="007212D5">
        <w:rPr>
          <w:rFonts w:ascii="Times New Roman" w:hAnsi="Times New Roman"/>
          <w:sz w:val="24"/>
          <w:szCs w:val="24"/>
        </w:rPr>
        <w:t>that</w:t>
      </w:r>
      <w:r w:rsidR="006A5733" w:rsidRPr="006A5733">
        <w:rPr>
          <w:rFonts w:ascii="Times New Roman" w:hAnsi="Times New Roman"/>
          <w:sz w:val="24"/>
          <w:szCs w:val="24"/>
        </w:rPr>
        <w:t xml:space="preserve"> would prevail in a Modigliani–Miller setting in a world </w:t>
      </w:r>
      <w:r w:rsidR="006A5733" w:rsidRPr="006A5733">
        <w:rPr>
          <w:rFonts w:ascii="Times New Roman" w:hAnsi="Times New Roman"/>
          <w:i/>
          <w:iCs/>
          <w:sz w:val="24"/>
          <w:szCs w:val="24"/>
        </w:rPr>
        <w:t>without</w:t>
      </w:r>
      <w:r w:rsidR="006A5733" w:rsidRPr="006A5733">
        <w:rPr>
          <w:rFonts w:ascii="Times New Roman" w:hAnsi="Times New Roman"/>
          <w:sz w:val="24"/>
          <w:szCs w:val="24"/>
        </w:rPr>
        <w:t> taxes.</w:t>
      </w:r>
    </w:p>
    <w:p w14:paraId="2FED4E69" w14:textId="77777777" w:rsidR="004D5307" w:rsidRPr="006A5733" w:rsidRDefault="004D5307" w:rsidP="004D5307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A5733">
        <w:rPr>
          <w:rFonts w:ascii="Times New Roman" w:hAnsi="Times New Roman"/>
          <w:b/>
          <w:bCs/>
          <w:sz w:val="24"/>
          <w:szCs w:val="24"/>
        </w:rPr>
        <w:t>Impact on Valuation</w:t>
      </w:r>
    </w:p>
    <w:p w14:paraId="3DE5F07B" w14:textId="4569F19A" w:rsidR="004D5307" w:rsidRPr="006A5733" w:rsidRDefault="0077533E" w:rsidP="004D530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9DC79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5.25pt;margin-top:86.65pt;width:186pt;height:36pt;z-index:251659264" filled="t" stroked="t">
            <v:imagedata r:id="rId7" o:title=""/>
          </v:shape>
        </w:pict>
      </w:r>
      <w:r w:rsidR="004D5307" w:rsidRPr="006A5733">
        <w:rPr>
          <w:rFonts w:ascii="Times New Roman" w:hAnsi="Times New Roman"/>
          <w:sz w:val="24"/>
          <w:szCs w:val="24"/>
        </w:rPr>
        <w:t xml:space="preserve">Table 3 shows APV valuation. Applying the D/EV target ratio of 20% yields D = </w:t>
      </w:r>
      <w:r w:rsidR="004D5307">
        <w:rPr>
          <w:rFonts w:ascii="Times New Roman" w:hAnsi="Times New Roman"/>
          <w:sz w:val="24"/>
          <w:szCs w:val="24"/>
        </w:rPr>
        <w:t>$73</w:t>
      </w:r>
      <w:r w:rsidR="00410D64">
        <w:rPr>
          <w:rFonts w:ascii="Times New Roman" w:hAnsi="Times New Roman"/>
          <w:sz w:val="24"/>
          <w:szCs w:val="24"/>
        </w:rPr>
        <w:t xml:space="preserve">3.6 </w:t>
      </w:r>
      <w:r w:rsidR="007212D5">
        <w:rPr>
          <w:rFonts w:ascii="Times New Roman" w:hAnsi="Times New Roman"/>
          <w:sz w:val="24"/>
          <w:szCs w:val="24"/>
        </w:rPr>
        <w:t xml:space="preserve">with </w:t>
      </w:r>
      <w:r w:rsidR="007212D5" w:rsidRPr="006A5733">
        <w:rPr>
          <w:rFonts w:ascii="Times New Roman" w:hAnsi="Times New Roman"/>
          <w:sz w:val="24"/>
          <w:szCs w:val="24"/>
        </w:rPr>
        <w:t>Enterprise</w:t>
      </w:r>
      <w:r w:rsidR="004D5307" w:rsidRPr="006A5733">
        <w:rPr>
          <w:rFonts w:ascii="Times New Roman" w:hAnsi="Times New Roman"/>
          <w:sz w:val="24"/>
          <w:szCs w:val="24"/>
        </w:rPr>
        <w:t xml:space="preserve"> </w:t>
      </w:r>
      <w:r w:rsidR="00410D64">
        <w:rPr>
          <w:rFonts w:ascii="Times New Roman" w:hAnsi="Times New Roman"/>
          <w:sz w:val="24"/>
          <w:szCs w:val="24"/>
        </w:rPr>
        <w:t>V</w:t>
      </w:r>
      <w:r w:rsidR="004D5307" w:rsidRPr="006A5733">
        <w:rPr>
          <w:rFonts w:ascii="Times New Roman" w:hAnsi="Times New Roman"/>
          <w:sz w:val="24"/>
          <w:szCs w:val="24"/>
        </w:rPr>
        <w:t xml:space="preserve">alue (EV) </w:t>
      </w:r>
      <w:r w:rsidR="00410D64">
        <w:rPr>
          <w:rFonts w:ascii="Times New Roman" w:hAnsi="Times New Roman"/>
          <w:sz w:val="24"/>
          <w:szCs w:val="24"/>
        </w:rPr>
        <w:t>of</w:t>
      </w:r>
      <w:r w:rsidR="004D5307" w:rsidRPr="006A5733">
        <w:rPr>
          <w:rFonts w:ascii="Times New Roman" w:hAnsi="Times New Roman"/>
          <w:sz w:val="24"/>
          <w:szCs w:val="24"/>
        </w:rPr>
        <w:t xml:space="preserve"> </w:t>
      </w:r>
      <w:r w:rsidR="004D5307">
        <w:rPr>
          <w:rFonts w:ascii="Times New Roman" w:hAnsi="Times New Roman"/>
          <w:sz w:val="24"/>
          <w:szCs w:val="24"/>
        </w:rPr>
        <w:t>3668</w:t>
      </w:r>
      <w:r w:rsidR="004D5307" w:rsidRPr="006A5733">
        <w:rPr>
          <w:rFonts w:ascii="Times New Roman" w:hAnsi="Times New Roman"/>
          <w:sz w:val="24"/>
          <w:szCs w:val="24"/>
        </w:rPr>
        <w:t xml:space="preserve">, and market value of equity (MVE) is </w:t>
      </w:r>
      <w:r w:rsidR="004D5307">
        <w:rPr>
          <w:rFonts w:ascii="Times New Roman" w:hAnsi="Times New Roman"/>
          <w:sz w:val="24"/>
          <w:szCs w:val="24"/>
        </w:rPr>
        <w:t>3</w:t>
      </w:r>
      <w:r w:rsidR="00410D64">
        <w:rPr>
          <w:rFonts w:ascii="Times New Roman" w:hAnsi="Times New Roman"/>
          <w:sz w:val="24"/>
          <w:szCs w:val="24"/>
        </w:rPr>
        <w:t>3173</w:t>
      </w:r>
      <w:r w:rsidR="004D5307" w:rsidRPr="006A5733">
        <w:rPr>
          <w:rFonts w:ascii="Times New Roman" w:hAnsi="Times New Roman"/>
          <w:sz w:val="24"/>
          <w:szCs w:val="24"/>
        </w:rPr>
        <w:t>, lower than when debt is assumed to remain constant even though</w:t>
      </w:r>
      <w:r w:rsidR="004D5307">
        <w:rPr>
          <w:rFonts w:ascii="Times New Roman" w:hAnsi="Times New Roman"/>
          <w:sz w:val="24"/>
          <w:szCs w:val="24"/>
        </w:rPr>
        <w:t xml:space="preserve"> </w:t>
      </w:r>
      <w:r w:rsidR="004D5307" w:rsidRPr="006A5733">
        <w:rPr>
          <w:rFonts w:ascii="Times New Roman" w:hAnsi="Times New Roman"/>
          <w:i/>
          <w:iCs/>
          <w:sz w:val="24"/>
          <w:szCs w:val="24"/>
        </w:rPr>
        <w:t>expected</w:t>
      </w:r>
      <w:r w:rsidR="004D5307" w:rsidRPr="006A5733">
        <w:rPr>
          <w:rFonts w:ascii="Times New Roman" w:hAnsi="Times New Roman"/>
          <w:sz w:val="24"/>
          <w:szCs w:val="24"/>
        </w:rPr>
        <w:t xml:space="preserve"> debt is assumed to remain constant. FCFFs and the terminal value of the FCFFs, discounted at </w:t>
      </w:r>
      <w:r w:rsidR="004D5307">
        <w:rPr>
          <w:rFonts w:ascii="Times New Roman" w:hAnsi="Times New Roman"/>
          <w:sz w:val="24"/>
          <w:szCs w:val="24"/>
        </w:rPr>
        <w:t>R</w:t>
      </w:r>
      <w:r w:rsidR="004D5307" w:rsidRPr="006A5733">
        <w:rPr>
          <w:rFonts w:ascii="Times New Roman" w:hAnsi="Times New Roman"/>
          <w:sz w:val="24"/>
          <w:szCs w:val="24"/>
          <w:vertAlign w:val="subscript"/>
        </w:rPr>
        <w:t>u</w:t>
      </w:r>
      <w:r w:rsidR="004D5307" w:rsidRPr="006A5733">
        <w:rPr>
          <w:rFonts w:ascii="Times New Roman" w:hAnsi="Times New Roman"/>
          <w:sz w:val="24"/>
          <w:szCs w:val="24"/>
        </w:rPr>
        <w:t xml:space="preserve">, yield the same value as before, but </w:t>
      </w:r>
      <w:r w:rsidR="006E39A6">
        <w:rPr>
          <w:rFonts w:ascii="Times New Roman" w:hAnsi="Times New Roman"/>
          <w:sz w:val="24"/>
          <w:szCs w:val="24"/>
        </w:rPr>
        <w:t>tax shields</w:t>
      </w:r>
      <w:r w:rsidR="004D5307" w:rsidRPr="006A5733">
        <w:rPr>
          <w:rFonts w:ascii="Times New Roman" w:hAnsi="Times New Roman"/>
          <w:sz w:val="24"/>
          <w:szCs w:val="24"/>
        </w:rPr>
        <w:t xml:space="preserve"> (TS), as well as the terminal value of the </w:t>
      </w:r>
      <w:r w:rsidR="006E39A6">
        <w:rPr>
          <w:rFonts w:ascii="Times New Roman" w:hAnsi="Times New Roman"/>
          <w:sz w:val="24"/>
          <w:szCs w:val="24"/>
        </w:rPr>
        <w:t>tax shields</w:t>
      </w:r>
      <w:r w:rsidR="004D5307" w:rsidRPr="006A5733">
        <w:rPr>
          <w:rFonts w:ascii="Times New Roman" w:hAnsi="Times New Roman"/>
          <w:sz w:val="24"/>
          <w:szCs w:val="24"/>
        </w:rPr>
        <w:t xml:space="preserve"> (equal to TS</w:t>
      </w:r>
      <w:r w:rsidR="004D5307" w:rsidRPr="006A5733">
        <w:rPr>
          <w:rFonts w:ascii="Times New Roman" w:hAnsi="Times New Roman"/>
          <w:sz w:val="24"/>
          <w:szCs w:val="24"/>
          <w:vertAlign w:val="subscript"/>
        </w:rPr>
        <w:t>4</w:t>
      </w:r>
      <w:r w:rsidR="004D5307" w:rsidRPr="006A5733">
        <w:rPr>
          <w:rFonts w:ascii="Times New Roman" w:hAnsi="Times New Roman"/>
          <w:sz w:val="24"/>
          <w:szCs w:val="24"/>
        </w:rPr>
        <w:t>/</w:t>
      </w:r>
      <w:r w:rsidR="004D5307">
        <w:rPr>
          <w:rFonts w:ascii="Times New Roman" w:hAnsi="Times New Roman"/>
          <w:sz w:val="24"/>
          <w:szCs w:val="24"/>
        </w:rPr>
        <w:t>R</w:t>
      </w:r>
      <w:r w:rsidR="004D5307" w:rsidRPr="006A5733">
        <w:rPr>
          <w:rFonts w:ascii="Times New Roman" w:hAnsi="Times New Roman"/>
          <w:sz w:val="24"/>
          <w:szCs w:val="24"/>
          <w:vertAlign w:val="subscript"/>
        </w:rPr>
        <w:t>u</w:t>
      </w:r>
      <w:r w:rsidR="004D5307" w:rsidRPr="006A5733">
        <w:rPr>
          <w:rFonts w:ascii="Times New Roman" w:hAnsi="Times New Roman"/>
          <w:sz w:val="24"/>
          <w:szCs w:val="24"/>
        </w:rPr>
        <w:t xml:space="preserve">), are now discounted at </w:t>
      </w:r>
      <w:r w:rsidR="004D5307">
        <w:rPr>
          <w:rFonts w:ascii="Times New Roman" w:hAnsi="Times New Roman"/>
          <w:sz w:val="24"/>
          <w:szCs w:val="24"/>
        </w:rPr>
        <w:t>Rd</w:t>
      </w:r>
      <w:r w:rsidR="004D5307" w:rsidRPr="006A5733">
        <w:rPr>
          <w:rFonts w:ascii="Times New Roman" w:hAnsi="Times New Roman"/>
          <w:sz w:val="24"/>
          <w:szCs w:val="24"/>
        </w:rPr>
        <w:t xml:space="preserve"> for one year only and at </w:t>
      </w:r>
      <w:r w:rsidR="004D5307">
        <w:rPr>
          <w:rFonts w:ascii="Times New Roman" w:hAnsi="Times New Roman"/>
          <w:sz w:val="24"/>
          <w:szCs w:val="24"/>
        </w:rPr>
        <w:t>R</w:t>
      </w:r>
      <w:r w:rsidR="004D5307" w:rsidRPr="006A5733">
        <w:rPr>
          <w:rFonts w:ascii="Times New Roman" w:hAnsi="Times New Roman"/>
          <w:sz w:val="24"/>
          <w:szCs w:val="24"/>
          <w:vertAlign w:val="subscript"/>
        </w:rPr>
        <w:t>u</w:t>
      </w:r>
      <w:r w:rsidR="004D5307" w:rsidRPr="006A5733">
        <w:rPr>
          <w:rFonts w:ascii="Times New Roman" w:hAnsi="Times New Roman"/>
          <w:sz w:val="24"/>
          <w:szCs w:val="24"/>
        </w:rPr>
        <w:t xml:space="preserve"> thereafter, which yields a lower overall value of the </w:t>
      </w:r>
      <w:r w:rsidR="006E39A6">
        <w:rPr>
          <w:rFonts w:ascii="Times New Roman" w:hAnsi="Times New Roman"/>
          <w:sz w:val="24"/>
          <w:szCs w:val="24"/>
        </w:rPr>
        <w:t>tax shields</w:t>
      </w:r>
      <w:r w:rsidR="004D5307" w:rsidRPr="006A5733">
        <w:rPr>
          <w:rFonts w:ascii="Times New Roman" w:hAnsi="Times New Roman"/>
          <w:sz w:val="24"/>
          <w:szCs w:val="24"/>
        </w:rPr>
        <w:t>.</w:t>
      </w:r>
    </w:p>
    <w:p w14:paraId="39476C76" w14:textId="77777777" w:rsidR="004D5307" w:rsidRDefault="004D5307" w:rsidP="004D530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WACC based on target capital structure </w:t>
      </w:r>
    </w:p>
    <w:p w14:paraId="0418B32D" w14:textId="77777777" w:rsidR="004D5307" w:rsidRDefault="004D5307" w:rsidP="004D5307">
      <w:pPr>
        <w:pStyle w:val="NoSpacing"/>
        <w:rPr>
          <w:rFonts w:ascii="Times New Roman" w:hAnsi="Times New Roman"/>
          <w:sz w:val="24"/>
          <w:szCs w:val="24"/>
        </w:rPr>
      </w:pPr>
    </w:p>
    <w:p w14:paraId="429E83B0" w14:textId="3F61C080" w:rsidR="004D5307" w:rsidRDefault="004D5307" w:rsidP="004D5307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A5733">
        <w:rPr>
          <w:rFonts w:ascii="Times New Roman" w:hAnsi="Times New Roman"/>
          <w:b/>
          <w:bCs/>
          <w:sz w:val="24"/>
          <w:szCs w:val="24"/>
        </w:rPr>
        <w:t>Table 3. Adjusted present value (APV) valuation</w:t>
      </w:r>
    </w:p>
    <w:p w14:paraId="2422B35C" w14:textId="42619EBA" w:rsidR="009475BA" w:rsidRDefault="009475BA" w:rsidP="004D530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464" w:type="dxa"/>
        <w:tblLook w:val="04A0" w:firstRow="1" w:lastRow="0" w:firstColumn="1" w:lastColumn="0" w:noHBand="0" w:noVBand="1"/>
      </w:tblPr>
      <w:tblGrid>
        <w:gridCol w:w="3500"/>
        <w:gridCol w:w="1052"/>
        <w:gridCol w:w="1011"/>
        <w:gridCol w:w="1011"/>
        <w:gridCol w:w="1011"/>
        <w:gridCol w:w="1011"/>
      </w:tblGrid>
      <w:tr w:rsidR="00D32BC1" w:rsidRPr="00D32BC1" w14:paraId="35B330F3" w14:textId="77777777" w:rsidTr="00785969">
        <w:trPr>
          <w:trHeight w:val="630"/>
        </w:trPr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hideMark/>
          </w:tcPr>
          <w:p w14:paraId="63FE8364" w14:textId="552A840A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 xml:space="preserve">Valuation Based on </w:t>
            </w:r>
            <w:r w:rsidR="007212D5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Target</w:t>
            </w: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 xml:space="preserve"> Capital Structure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6037110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D155592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68084F2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B793FFC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5987AFE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D32BC1" w:rsidRPr="00D32BC1" w14:paraId="1491693F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3669A97A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Growth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E9786F0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62061F4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35AB366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49A0F6CB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3F28A010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0%</w:t>
            </w:r>
          </w:p>
        </w:tc>
      </w:tr>
      <w:tr w:rsidR="00D32BC1" w:rsidRPr="00D32BC1" w14:paraId="00B80544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297F4ACA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FCFF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1364E401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208BABD1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$396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294B4645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$396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47D39AA2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$396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1BE02354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D32BC1" w:rsidRPr="00D32BC1" w14:paraId="27826091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2EAEBA93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WACC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0386E14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FE397A0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10.49%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293C8040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10.49%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1110DA68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10.49%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4E979029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10.49%</w:t>
            </w:r>
          </w:p>
        </w:tc>
      </w:tr>
      <w:tr w:rsidR="00D32BC1" w:rsidRPr="00D32BC1" w14:paraId="17180AEF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4FBF7530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Discount factor @ WACC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7EFF9C75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2F223588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0.9051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4E6C7427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0.8191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31B0DC87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0.7414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908F125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D32BC1" w:rsidRPr="00D32BC1" w14:paraId="45D08103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10683B48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lastRenderedPageBreak/>
              <w:t>PV of FCF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9B70570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4D5849B7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$358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4F10DBE1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54D01DE1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$294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4F172418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D32BC1" w:rsidRPr="00D32BC1" w14:paraId="702A3331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AF23730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Total FCF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93C2A3D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$976.36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42D6577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C9A5103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7229E34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61C20FC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D32BC1" w:rsidRPr="00D32BC1" w14:paraId="56C3E418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1DFAE23A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Terminal Value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CC595A0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309EAB4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E7DAB1F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61A92CA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47E27A5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$3,775</w:t>
            </w:r>
          </w:p>
        </w:tc>
      </w:tr>
      <w:tr w:rsidR="00D32BC1" w:rsidRPr="00D32BC1" w14:paraId="3EA35969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4124FED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PV(TV)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D90FD75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$2,799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E583A7B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9C87DBE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B8C9BA5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C3BD692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D32BC1" w:rsidRPr="00D32BC1" w14:paraId="436ED329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1BA9D7BB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Market value of levered firm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5DC5D874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$3,775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A0DCAD6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4E2B2E69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9A05499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46DA6559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D32BC1" w:rsidRPr="00D32BC1" w14:paraId="6A5E3998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DA79ED8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Debt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72857ADD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$200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5C76B8C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4E7585B1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D96BB1C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A94D28C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D32BC1" w:rsidRPr="00D32BC1" w14:paraId="669D6E7B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hideMark/>
          </w:tcPr>
          <w:p w14:paraId="3BD47C46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1B04D2A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38D25E4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8F3694F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D1BA822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90DEF2D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D32BC1" w:rsidRPr="00D32BC1" w14:paraId="75E5EAFF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40A45C6B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Market value of equity (MVE)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7C7A58BF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$3,775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7CAB9C75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E9E251F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7402F066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2FCD669A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D32BC1" w:rsidRPr="00D32BC1" w14:paraId="7DAEB355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10753CAA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Price per share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CA4FB54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$12.58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04AC0D9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ED51E13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0EF7F31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EEF4ECC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36132DB9" w14:textId="18CDD81E" w:rsidR="00D32BC1" w:rsidRDefault="00D32BC1" w:rsidP="004D530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6646" w:type="dxa"/>
        <w:tblLook w:val="04A0" w:firstRow="1" w:lastRow="0" w:firstColumn="1" w:lastColumn="0" w:noHBand="0" w:noVBand="1"/>
      </w:tblPr>
      <w:tblGrid>
        <w:gridCol w:w="3366"/>
        <w:gridCol w:w="1360"/>
        <w:gridCol w:w="960"/>
        <w:gridCol w:w="960"/>
      </w:tblGrid>
      <w:tr w:rsidR="00D32BC1" w:rsidRPr="00D32BC1" w14:paraId="501F0C9D" w14:textId="77777777" w:rsidTr="00D32BC1">
        <w:trPr>
          <w:trHeight w:val="345"/>
        </w:trPr>
        <w:tc>
          <w:tcPr>
            <w:tcW w:w="664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79AFE6A" w14:textId="48A8BB44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Computation of WACC based on Target D/V</w:t>
            </w:r>
            <w:r w:rsidR="00785969">
              <w:rPr>
                <w:rFonts w:eastAsia="Times New Roman" w:cs="Calibri"/>
                <w:color w:val="000000"/>
              </w:rPr>
              <w:t>=20%</w:t>
            </w:r>
          </w:p>
        </w:tc>
      </w:tr>
      <w:tr w:rsidR="00D32BC1" w:rsidRPr="00D32BC1" w14:paraId="40024B95" w14:textId="77777777" w:rsidTr="00D32BC1">
        <w:trPr>
          <w:trHeight w:val="330"/>
        </w:trPr>
        <w:tc>
          <w:tcPr>
            <w:tcW w:w="33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14:paraId="5233B049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Unlevered Beta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14:paraId="23FEC4C7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7FCFBB1D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D/V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F4A49E9" w14:textId="77777777" w:rsidR="00D32BC1" w:rsidRPr="00D32BC1" w:rsidRDefault="00D32BC1" w:rsidP="00D32B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0.2</w:t>
            </w:r>
          </w:p>
        </w:tc>
      </w:tr>
      <w:tr w:rsidR="00D32BC1" w:rsidRPr="00D32BC1" w14:paraId="26E85E2F" w14:textId="77777777" w:rsidTr="00D32BC1">
        <w:trPr>
          <w:trHeight w:val="330"/>
        </w:trPr>
        <w:tc>
          <w:tcPr>
            <w:tcW w:w="33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14:paraId="331A6819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Debt Beta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14:paraId="1718602D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D2E50B4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E/V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4DABF44" w14:textId="77777777" w:rsidR="00D32BC1" w:rsidRPr="00D32BC1" w:rsidRDefault="00D32BC1" w:rsidP="00D32B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0.8</w:t>
            </w:r>
          </w:p>
        </w:tc>
      </w:tr>
      <w:tr w:rsidR="00D32BC1" w:rsidRPr="00D32BC1" w14:paraId="5891DEDE" w14:textId="77777777" w:rsidTr="00D32BC1">
        <w:trPr>
          <w:trHeight w:val="390"/>
        </w:trPr>
        <w:tc>
          <w:tcPr>
            <w:tcW w:w="33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3B71F9AE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β</w:t>
            </w: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</w:rPr>
              <w:t>e</w:t>
            </w: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= </w:t>
            </w:r>
            <w:r w:rsidRPr="00D32BC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β</w:t>
            </w:r>
            <w:proofErr w:type="gramStart"/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</w:rPr>
              <w:t>u</w:t>
            </w: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</w:t>
            </w:r>
            <w:proofErr w:type="gramEnd"/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  D</w:t>
            </w:r>
            <w:proofErr w:type="gramEnd"/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/E]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14:paraId="1E84626D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Levered Beta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7C0BDBF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1.250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83C3389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32BC1" w:rsidRPr="00D32BC1" w14:paraId="63A34D7A" w14:textId="77777777" w:rsidTr="00D32BC1">
        <w:trPr>
          <w:trHeight w:val="330"/>
        </w:trPr>
        <w:tc>
          <w:tcPr>
            <w:tcW w:w="33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F1FCB27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31C19593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A93EC5C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47DF7BF5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32BC1" w:rsidRPr="00D32BC1" w14:paraId="33E440F2" w14:textId="77777777" w:rsidTr="00D32BC1">
        <w:trPr>
          <w:trHeight w:val="330"/>
        </w:trPr>
        <w:tc>
          <w:tcPr>
            <w:tcW w:w="33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14:paraId="0AE03B9B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Tax rate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75B6D91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34.0%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9873FB8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4A47334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32BC1" w:rsidRPr="00D32BC1" w14:paraId="5EF3C98D" w14:textId="77777777" w:rsidTr="00D32BC1">
        <w:trPr>
          <w:trHeight w:val="315"/>
        </w:trPr>
        <w:tc>
          <w:tcPr>
            <w:tcW w:w="33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14:paraId="569C6073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Levered Beta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482D0221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1B78A7A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79481FAB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32BC1" w:rsidRPr="00D32BC1" w14:paraId="1EF8C6C7" w14:textId="77777777" w:rsidTr="00785969">
        <w:trPr>
          <w:trHeight w:val="330"/>
        </w:trPr>
        <w:tc>
          <w:tcPr>
            <w:tcW w:w="3366" w:type="dxa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987FC51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Levered cost of equity</w:t>
            </w:r>
          </w:p>
        </w:tc>
        <w:tc>
          <w:tcPr>
            <w:tcW w:w="1360" w:type="dxa"/>
            <w:tcBorders>
              <w:top w:val="nil"/>
              <w:left w:val="nil"/>
              <w:right w:val="single" w:sz="12" w:space="0" w:color="auto"/>
            </w:tcBorders>
            <w:noWrap/>
            <w:vAlign w:val="bottom"/>
            <w:hideMark/>
          </w:tcPr>
          <w:p w14:paraId="00E77DF4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12.5%</w:t>
            </w:r>
          </w:p>
        </w:tc>
        <w:tc>
          <w:tcPr>
            <w:tcW w:w="960" w:type="dxa"/>
            <w:tcBorders>
              <w:top w:val="nil"/>
              <w:left w:val="nil"/>
              <w:right w:val="single" w:sz="12" w:space="0" w:color="auto"/>
            </w:tcBorders>
            <w:noWrap/>
            <w:vAlign w:val="bottom"/>
            <w:hideMark/>
          </w:tcPr>
          <w:p w14:paraId="4BD7BAE7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12" w:space="0" w:color="auto"/>
            </w:tcBorders>
            <w:noWrap/>
            <w:vAlign w:val="bottom"/>
            <w:hideMark/>
          </w:tcPr>
          <w:p w14:paraId="2E2A11C7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32BC1" w:rsidRPr="00D32BC1" w14:paraId="366FF4DE" w14:textId="77777777" w:rsidTr="00785969">
        <w:trPr>
          <w:trHeight w:val="330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8EE7EB5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Cost of Debt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07FCB5C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7.50%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1A94796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62C240E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32BC1" w:rsidRPr="00D32BC1" w14:paraId="4404966D" w14:textId="77777777" w:rsidTr="00785969">
        <w:trPr>
          <w:trHeight w:val="315"/>
        </w:trPr>
        <w:tc>
          <w:tcPr>
            <w:tcW w:w="336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14:paraId="0011C2F1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WACC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4470464E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10.49%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2246055E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73489EE4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32BC1" w:rsidRPr="00D32BC1" w14:paraId="17C3AF47" w14:textId="77777777" w:rsidTr="00D32BC1">
        <w:trPr>
          <w:trHeight w:val="330"/>
        </w:trPr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A857" w14:textId="004833D5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6EBEAE27" wp14:editId="60F2C419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74930</wp:posOffset>
                  </wp:positionV>
                  <wp:extent cx="2362200" cy="485775"/>
                  <wp:effectExtent l="0" t="0" r="0" b="9525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2E1526-9FC5-4752-9E62-9E4F4651FA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2">
                            <a:extLst>
                              <a:ext uri="{FF2B5EF4-FFF2-40B4-BE49-F238E27FC236}">
                                <a16:creationId xmlns:a16="http://schemas.microsoft.com/office/drawing/2014/main" id="{4B2E1526-9FC5-4752-9E62-9E4F4651FA0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0"/>
            </w:tblGrid>
            <w:tr w:rsidR="00D32BC1" w:rsidRPr="00D32BC1" w14:paraId="00E74966" w14:textId="77777777">
              <w:trPr>
                <w:trHeight w:val="330"/>
                <w:tblCellSpacing w:w="0" w:type="dxa"/>
              </w:trPr>
              <w:tc>
                <w:tcPr>
                  <w:tcW w:w="30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D45FC26" w14:textId="77777777" w:rsidR="00D32BC1" w:rsidRPr="00D32BC1" w:rsidRDefault="00D32BC1" w:rsidP="00D32BC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D32BC1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</w:tbl>
          <w:p w14:paraId="43F790D1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B7B75B3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A5F15D1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4CD4B8D5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32BC1" w:rsidRPr="00D32BC1" w14:paraId="413E9E4D" w14:textId="77777777" w:rsidTr="00D32BC1">
        <w:trPr>
          <w:trHeight w:val="315"/>
        </w:trPr>
        <w:tc>
          <w:tcPr>
            <w:tcW w:w="33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4927FFD9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E8F057F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FD28E8F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7BB3F157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32BC1" w:rsidRPr="00D32BC1" w14:paraId="195290A8" w14:textId="77777777" w:rsidTr="00D32BC1">
        <w:trPr>
          <w:trHeight w:val="330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A4BC804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450556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AEAA3D0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9B27CC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 </w:t>
            </w:r>
          </w:p>
        </w:tc>
      </w:tr>
    </w:tbl>
    <w:p w14:paraId="2BE8BC6F" w14:textId="1A91B762" w:rsidR="00D32BC1" w:rsidRDefault="00D32BC1" w:rsidP="004D530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334E1E6" w14:textId="77777777" w:rsidR="00D32BC1" w:rsidRDefault="00D32BC1" w:rsidP="004D530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684" w:type="dxa"/>
        <w:tblLook w:val="04A0" w:firstRow="1" w:lastRow="0" w:firstColumn="1" w:lastColumn="0" w:noHBand="0" w:noVBand="1"/>
      </w:tblPr>
      <w:tblGrid>
        <w:gridCol w:w="3500"/>
        <w:gridCol w:w="1140"/>
        <w:gridCol w:w="1011"/>
        <w:gridCol w:w="1011"/>
        <w:gridCol w:w="1011"/>
        <w:gridCol w:w="1011"/>
      </w:tblGrid>
      <w:tr w:rsidR="00D32BC1" w:rsidRPr="00D32BC1" w14:paraId="069D9E3D" w14:textId="77777777" w:rsidTr="00785969">
        <w:trPr>
          <w:trHeight w:val="630"/>
        </w:trPr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hideMark/>
          </w:tcPr>
          <w:p w14:paraId="401086B7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Valuation Based on WACC When Debt Varies with FCF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50CEFF9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6C5F06F6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49AED9A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699E585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2906D81D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D32BC1" w:rsidRPr="00D32BC1" w14:paraId="0ACDC3A2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7CC4B7F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Growth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23792FF7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7B31CEA0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40D0BD4C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22FAD91D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C67F279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0%</w:t>
            </w:r>
          </w:p>
        </w:tc>
      </w:tr>
      <w:tr w:rsidR="00D32BC1" w:rsidRPr="00D32BC1" w14:paraId="13186019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12D6CFC2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FCFF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55ECF7E7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7EEF3C1F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$396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3AE25DFC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$396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193C559B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$396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3AACD29B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D32BC1" w:rsidRPr="00D32BC1" w14:paraId="7D374DB9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292B661E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WACC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0F947DF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7646E79C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10.86%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19305552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10.86%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E45DD5D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10.86%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94A29EE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10.86%</w:t>
            </w:r>
          </w:p>
        </w:tc>
      </w:tr>
      <w:tr w:rsidR="00D32BC1" w:rsidRPr="00D32BC1" w14:paraId="5EBE85D5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4DADB03C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Discount factor @ WACC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1B4EDBB8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3B4FE73A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0.9021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3667D8E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0.8137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DEB7021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0.7341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1C3956AA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D32BC1" w:rsidRPr="00D32BC1" w14:paraId="336628FA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4E21208F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PV of FCF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7EAE22B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38F36BC1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$357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D79A6AC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$322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EFC1356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$291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577EB803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D32BC1" w:rsidRPr="00D32BC1" w14:paraId="6435ABCC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713EC926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Total FCF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0B797D7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$970.15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E48CF45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A4484CC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1A77455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0269BDA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D32BC1" w:rsidRPr="00D32BC1" w14:paraId="7D19CB79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7A0C9463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Terminal Value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FA59C0A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F601210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3A1AEE7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CBFAB83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0238107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$3,648</w:t>
            </w:r>
          </w:p>
        </w:tc>
      </w:tr>
      <w:tr w:rsidR="00D32BC1" w:rsidRPr="00D32BC1" w14:paraId="1D0855D9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619FCA4E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PV(TV)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A20FB29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$2,678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E503227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5A0EF57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A0AA91B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6065C1B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D32BC1" w:rsidRPr="00D32BC1" w14:paraId="213EEDB8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3D217BB" w14:textId="46F952EB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 xml:space="preserve">Market value of </w:t>
            </w:r>
            <w:r w:rsidR="007212D5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 xml:space="preserve">a </w:t>
            </w: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levered firm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DE56017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$3,648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33A40F33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37E7DDE3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55381672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3C1EA1B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D32BC1" w:rsidRPr="00D32BC1" w14:paraId="268B1ECC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6327281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Debt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585F7D5A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$200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6258D244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04875C1D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57E57D1B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noWrap/>
            <w:hideMark/>
          </w:tcPr>
          <w:p w14:paraId="19FD53F8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D32BC1" w:rsidRPr="00D32BC1" w14:paraId="342F0678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hideMark/>
          </w:tcPr>
          <w:p w14:paraId="42293972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lastRenderedPageBreak/>
              <w:t>CASH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28DB33D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122096B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1D03B0B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C75E16C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155D090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D32BC1" w:rsidRPr="00D32BC1" w14:paraId="00852114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0B18017D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Market value of equity (MVE)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32FDCE5C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$3,648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4DE270DE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0310DF80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395AE5BA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6F2BDB33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  <w:tr w:rsidR="00D32BC1" w:rsidRPr="00D32BC1" w14:paraId="74D2C749" w14:textId="77777777" w:rsidTr="00785969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0E529EF6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Price per share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2A8FAAB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$12.16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7A5330B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7A4290B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FC7466B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AE52BEB" w14:textId="77777777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71F142CB" w14:textId="4F9C6486" w:rsidR="009475BA" w:rsidRDefault="009475BA" w:rsidP="004D530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DC94F68" w14:textId="6EF823BE" w:rsidR="009475BA" w:rsidRDefault="009475BA" w:rsidP="004D530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0801D7E" w14:textId="0DF85327" w:rsidR="009475BA" w:rsidRDefault="009475BA" w:rsidP="004D530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640" w:type="dxa"/>
        <w:tblLook w:val="04A0" w:firstRow="1" w:lastRow="0" w:firstColumn="1" w:lastColumn="0" w:noHBand="0" w:noVBand="1"/>
      </w:tblPr>
      <w:tblGrid>
        <w:gridCol w:w="3200"/>
        <w:gridCol w:w="1440"/>
      </w:tblGrid>
      <w:tr w:rsidR="00D32BC1" w:rsidRPr="00D32BC1" w14:paraId="5A22332E" w14:textId="77777777" w:rsidTr="00B524E9">
        <w:trPr>
          <w:trHeight w:val="345"/>
        </w:trPr>
        <w:tc>
          <w:tcPr>
            <w:tcW w:w="46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BD15E79" w14:textId="1119C229" w:rsidR="00D32BC1" w:rsidRPr="00D32BC1" w:rsidRDefault="00D32BC1" w:rsidP="00D32BC1">
            <w:pPr>
              <w:spacing w:after="0" w:line="240" w:lineRule="auto"/>
              <w:rPr>
                <w:rFonts w:ascii="Rtimes" w:eastAsia="Times New Roman" w:hAnsi="Rtimes" w:cs="Calibri"/>
                <w:color w:val="000000"/>
                <w:sz w:val="24"/>
                <w:szCs w:val="24"/>
              </w:rPr>
            </w:pPr>
            <w:r w:rsidRPr="00D32BC1">
              <w:rPr>
                <w:rFonts w:ascii="Rtimes" w:eastAsia="Times New Roman" w:hAnsi="Rtimes" w:cs="Calibri"/>
                <w:color w:val="000000"/>
                <w:sz w:val="24"/>
                <w:szCs w:val="24"/>
              </w:rPr>
              <w:t>Computation of WACC When D/E Changes</w:t>
            </w:r>
          </w:p>
        </w:tc>
      </w:tr>
      <w:tr w:rsidR="00D32BC1" w:rsidRPr="00D32BC1" w14:paraId="19D25DAB" w14:textId="77777777" w:rsidTr="00D32BC1">
        <w:trPr>
          <w:trHeight w:val="33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14:paraId="6D1242DA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Unlevered Beta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14:paraId="709B888C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32BC1" w:rsidRPr="00D32BC1" w14:paraId="1BAD8635" w14:textId="77777777" w:rsidTr="00D32BC1">
        <w:trPr>
          <w:trHeight w:val="39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14:paraId="366037DF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Debt Beta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14:paraId="244C3C2E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0.3</w:t>
            </w:r>
          </w:p>
        </w:tc>
      </w:tr>
      <w:tr w:rsidR="00D32BC1" w:rsidRPr="00D32BC1" w14:paraId="03BBECAC" w14:textId="77777777" w:rsidTr="00D32BC1">
        <w:trPr>
          <w:trHeight w:val="33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14:paraId="6B025C65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Levered Beta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49F70EC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1.037</w:t>
            </w:r>
          </w:p>
        </w:tc>
      </w:tr>
      <w:tr w:rsidR="00D32BC1" w:rsidRPr="00D32BC1" w14:paraId="5831E742" w14:textId="77777777" w:rsidTr="00D32BC1">
        <w:trPr>
          <w:trHeight w:val="33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14:paraId="5B733B47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Debt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14:paraId="6EB606DB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$200</w:t>
            </w:r>
          </w:p>
        </w:tc>
      </w:tr>
      <w:tr w:rsidR="00D32BC1" w:rsidRPr="00D32BC1" w14:paraId="5A36201A" w14:textId="77777777" w:rsidTr="00D32BC1">
        <w:trPr>
          <w:trHeight w:val="33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14:paraId="0D81B7CE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equity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447511BC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$3,600</w:t>
            </w:r>
          </w:p>
        </w:tc>
      </w:tr>
      <w:tr w:rsidR="00D32BC1" w:rsidRPr="00D32BC1" w14:paraId="7550FFC7" w14:textId="77777777" w:rsidTr="00D32BC1">
        <w:trPr>
          <w:trHeight w:val="315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14:paraId="697A783C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V=D+E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A637A21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$3,800</w:t>
            </w:r>
          </w:p>
        </w:tc>
      </w:tr>
      <w:tr w:rsidR="00D32BC1" w:rsidRPr="00D32BC1" w14:paraId="5B45AF4D" w14:textId="77777777" w:rsidTr="00D32BC1">
        <w:trPr>
          <w:trHeight w:val="33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14:paraId="3F71738C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D/E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7E6A9E3E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5.26%</w:t>
            </w:r>
          </w:p>
        </w:tc>
      </w:tr>
      <w:tr w:rsidR="00D32BC1" w:rsidRPr="00D32BC1" w14:paraId="333F0B62" w14:textId="77777777" w:rsidTr="00D32BC1">
        <w:trPr>
          <w:trHeight w:val="330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14:paraId="1B6303B4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Tax rate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4091C4FE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34.00%</w:t>
            </w:r>
          </w:p>
        </w:tc>
      </w:tr>
      <w:tr w:rsidR="00D32BC1" w:rsidRPr="00D32BC1" w14:paraId="1B50277A" w14:textId="77777777" w:rsidTr="00D32BC1">
        <w:trPr>
          <w:trHeight w:val="315"/>
        </w:trPr>
        <w:tc>
          <w:tcPr>
            <w:tcW w:w="3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14:paraId="14A4708B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Levered Beta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37E31FB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1.04</w:t>
            </w:r>
          </w:p>
        </w:tc>
      </w:tr>
      <w:tr w:rsidR="00D32BC1" w:rsidRPr="00D32BC1" w14:paraId="0441E278" w14:textId="77777777" w:rsidTr="00785969">
        <w:trPr>
          <w:trHeight w:val="330"/>
        </w:trPr>
        <w:tc>
          <w:tcPr>
            <w:tcW w:w="3200" w:type="dxa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D073D1F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Levered cost of equity</w:t>
            </w:r>
          </w:p>
        </w:tc>
        <w:tc>
          <w:tcPr>
            <w:tcW w:w="1440" w:type="dxa"/>
            <w:tcBorders>
              <w:top w:val="nil"/>
              <w:left w:val="nil"/>
              <w:right w:val="single" w:sz="12" w:space="0" w:color="auto"/>
            </w:tcBorders>
            <w:noWrap/>
            <w:vAlign w:val="bottom"/>
            <w:hideMark/>
          </w:tcPr>
          <w:p w14:paraId="49C0CB3E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11.2%</w:t>
            </w:r>
          </w:p>
        </w:tc>
      </w:tr>
      <w:tr w:rsidR="00D32BC1" w:rsidRPr="00D32BC1" w14:paraId="7F2A920E" w14:textId="77777777" w:rsidTr="00785969">
        <w:trPr>
          <w:trHeight w:val="315"/>
        </w:trPr>
        <w:tc>
          <w:tcPr>
            <w:tcW w:w="32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E99BA02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Cost of Debt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A81C335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7.50%</w:t>
            </w:r>
          </w:p>
        </w:tc>
      </w:tr>
      <w:tr w:rsidR="00D32BC1" w:rsidRPr="00D32BC1" w14:paraId="18A21AAE" w14:textId="77777777" w:rsidTr="00785969">
        <w:trPr>
          <w:trHeight w:val="330"/>
        </w:trPr>
        <w:tc>
          <w:tcPr>
            <w:tcW w:w="3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F322012" w14:textId="77777777" w:rsidR="00D32BC1" w:rsidRPr="00D32BC1" w:rsidRDefault="00D32BC1" w:rsidP="00D32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2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WACC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105051D" w14:textId="77777777" w:rsidR="00D32BC1" w:rsidRPr="00D32BC1" w:rsidRDefault="00D32BC1" w:rsidP="00D32B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32BC1">
              <w:rPr>
                <w:rFonts w:eastAsia="Times New Roman" w:cs="Calibri"/>
                <w:color w:val="000000"/>
              </w:rPr>
              <w:t>10.86%</w:t>
            </w:r>
          </w:p>
        </w:tc>
      </w:tr>
    </w:tbl>
    <w:p w14:paraId="0A9AB39F" w14:textId="77777777" w:rsidR="009475BA" w:rsidRPr="006A5733" w:rsidRDefault="009475BA" w:rsidP="004D530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B694720" w14:textId="77777777" w:rsidR="00577C37" w:rsidRDefault="00577C37" w:rsidP="006A573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1035D00" w14:textId="77777777" w:rsidR="00577C37" w:rsidRDefault="00577C37" w:rsidP="006A573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CD19807" w14:textId="77777777" w:rsidR="00577C37" w:rsidRDefault="00577C37" w:rsidP="006A573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sectPr w:rsidR="00577C37" w:rsidSect="00EC66D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56D4" w14:textId="77777777" w:rsidR="00B524E9" w:rsidRDefault="00B524E9" w:rsidP="00B524E9">
      <w:pPr>
        <w:spacing w:after="0" w:line="240" w:lineRule="auto"/>
      </w:pPr>
      <w:r>
        <w:separator/>
      </w:r>
    </w:p>
  </w:endnote>
  <w:endnote w:type="continuationSeparator" w:id="0">
    <w:p w14:paraId="7BAE8A8C" w14:textId="77777777" w:rsidR="00B524E9" w:rsidRDefault="00B524E9" w:rsidP="00B5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ti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394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FA873" w14:textId="6A1EE8F9" w:rsidR="00B524E9" w:rsidRDefault="00B524E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D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06C04C" w14:textId="77777777" w:rsidR="00B524E9" w:rsidRDefault="00B52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ADA84" w14:textId="77777777" w:rsidR="00B524E9" w:rsidRDefault="00B524E9" w:rsidP="00B524E9">
      <w:pPr>
        <w:spacing w:after="0" w:line="240" w:lineRule="auto"/>
      </w:pPr>
      <w:r>
        <w:separator/>
      </w:r>
    </w:p>
  </w:footnote>
  <w:footnote w:type="continuationSeparator" w:id="0">
    <w:p w14:paraId="3D226323" w14:textId="77777777" w:rsidR="00B524E9" w:rsidRDefault="00B524E9" w:rsidP="00B52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0B3"/>
    <w:multiLevelType w:val="multilevel"/>
    <w:tmpl w:val="850E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15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733"/>
    <w:rsid w:val="0026025C"/>
    <w:rsid w:val="002C023D"/>
    <w:rsid w:val="00410D64"/>
    <w:rsid w:val="004233E7"/>
    <w:rsid w:val="004264D3"/>
    <w:rsid w:val="00491360"/>
    <w:rsid w:val="004D5307"/>
    <w:rsid w:val="00532CFA"/>
    <w:rsid w:val="00555463"/>
    <w:rsid w:val="00577C37"/>
    <w:rsid w:val="0058794C"/>
    <w:rsid w:val="005A17EC"/>
    <w:rsid w:val="005B656E"/>
    <w:rsid w:val="00656D3E"/>
    <w:rsid w:val="006A5733"/>
    <w:rsid w:val="006E39A6"/>
    <w:rsid w:val="00704D1B"/>
    <w:rsid w:val="007212D5"/>
    <w:rsid w:val="0077533E"/>
    <w:rsid w:val="00785969"/>
    <w:rsid w:val="008E3D58"/>
    <w:rsid w:val="009475BA"/>
    <w:rsid w:val="009975C9"/>
    <w:rsid w:val="00B3711C"/>
    <w:rsid w:val="00B419D8"/>
    <w:rsid w:val="00B524E9"/>
    <w:rsid w:val="00C03E0D"/>
    <w:rsid w:val="00D168CD"/>
    <w:rsid w:val="00D2383A"/>
    <w:rsid w:val="00D32BC1"/>
    <w:rsid w:val="00D35AF4"/>
    <w:rsid w:val="00E36076"/>
    <w:rsid w:val="00E54706"/>
    <w:rsid w:val="00EC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C22792D"/>
  <w15:docId w15:val="{733C54D7-28C7-468F-B8B3-966729AF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6D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6A5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A57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A57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57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A573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A57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57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A5733"/>
    <w:rPr>
      <w:i/>
      <w:iCs/>
    </w:rPr>
  </w:style>
  <w:style w:type="character" w:customStyle="1" w:styleId="apple-converted-space">
    <w:name w:val="apple-converted-space"/>
    <w:basedOn w:val="DefaultParagraphFont"/>
    <w:rsid w:val="006A5733"/>
  </w:style>
  <w:style w:type="paragraph" w:customStyle="1" w:styleId="librios-pflindent">
    <w:name w:val="librios-pflindent"/>
    <w:basedOn w:val="Normal"/>
    <w:rsid w:val="006A57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brios-caption">
    <w:name w:val="librios-caption"/>
    <w:basedOn w:val="Normal"/>
    <w:rsid w:val="006A57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brios-tcell">
    <w:name w:val="librios-tcell"/>
    <w:basedOn w:val="DefaultParagraphFont"/>
    <w:rsid w:val="006A5733"/>
  </w:style>
  <w:style w:type="character" w:customStyle="1" w:styleId="librios-tcellri">
    <w:name w:val="librios-tcellri"/>
    <w:basedOn w:val="DefaultParagraphFont"/>
    <w:rsid w:val="006A5733"/>
  </w:style>
  <w:style w:type="paragraph" w:customStyle="1" w:styleId="librios-equation">
    <w:name w:val="librios-equation"/>
    <w:basedOn w:val="Normal"/>
    <w:rsid w:val="006A57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A573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4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2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4E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2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4E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1401</Words>
  <Characters>6253</Characters>
  <Application>Microsoft Office Word</Application>
  <DocSecurity>0</DocSecurity>
  <Lines>694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javad kashefi</cp:lastModifiedBy>
  <cp:revision>2</cp:revision>
  <cp:lastPrinted>2018-02-06T17:20:00Z</cp:lastPrinted>
  <dcterms:created xsi:type="dcterms:W3CDTF">2025-10-16T16:51:00Z</dcterms:created>
  <dcterms:modified xsi:type="dcterms:W3CDTF">2025-10-16T16:51:00Z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dae075b1-6fe5-4f83-9d18-a6858099f96b</vt:lpwstr>
  </property>
</Properties>
</file>