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12E" w:rsidRDefault="0034112E">
      <w:pPr>
        <w:jc w:val="center"/>
        <w:rPr>
          <w:b/>
          <w:bCs/>
        </w:rPr>
      </w:pPr>
      <w:r>
        <w:rPr>
          <w:b/>
          <w:bCs/>
        </w:rPr>
        <w:t>ANOTHER LOOK AT MUTUALLY EXCLUSIVE ALTERNATIVES WITH UNEQUAL LIVES AND REQUIRED RETURN</w:t>
      </w:r>
    </w:p>
    <w:p w:rsidR="0034112E" w:rsidRDefault="0034112E">
      <w:pPr>
        <w:jc w:val="center"/>
        <w:rPr>
          <w:b/>
          <w:bCs/>
        </w:rPr>
      </w:pPr>
      <w:r>
        <w:rPr>
          <w:b/>
          <w:bCs/>
        </w:rPr>
        <w:t>A PEDAGOGICAL COMMENT</w:t>
      </w:r>
    </w:p>
    <w:p w:rsidR="0034112E" w:rsidRDefault="0034112E">
      <w:pPr>
        <w:rPr>
          <w:b/>
          <w:bCs/>
        </w:rPr>
      </w:pPr>
    </w:p>
    <w:p w:rsidR="0034112E" w:rsidRDefault="0034112E">
      <w:pPr>
        <w:jc w:val="center"/>
      </w:pPr>
      <w:r>
        <w:t>Javad Kashefi, Ph. D</w:t>
      </w:r>
    </w:p>
    <w:p w:rsidR="0034112E" w:rsidRDefault="0034112E">
      <w:pPr>
        <w:jc w:val="center"/>
      </w:pPr>
      <w:r>
        <w:t>College of Business Administration</w:t>
      </w:r>
    </w:p>
    <w:p w:rsidR="0034112E" w:rsidRDefault="0034112E">
      <w:pPr>
        <w:jc w:val="center"/>
      </w:pPr>
      <w:r>
        <w:t>Finance, Real Estate, and Law Department</w:t>
      </w:r>
    </w:p>
    <w:p w:rsidR="0034112E" w:rsidRDefault="0034112E">
      <w:pPr>
        <w:jc w:val="center"/>
      </w:pPr>
      <w:r>
        <w:t>California State, Polytechnic University, Pomona</w:t>
      </w:r>
    </w:p>
    <w:p w:rsidR="0034112E" w:rsidRDefault="0034112E">
      <w:pPr>
        <w:jc w:val="center"/>
      </w:pPr>
      <w:hyperlink r:id="rId7" w:history="1">
        <w:r>
          <w:rPr>
            <w:rStyle w:val="Hyperlink"/>
          </w:rPr>
          <w:t>Dkashefineja@csupomona.edu</w:t>
        </w:r>
      </w:hyperlink>
    </w:p>
    <w:p w:rsidR="0034112E" w:rsidRDefault="0034112E">
      <w:pPr>
        <w:jc w:val="center"/>
      </w:pPr>
      <w:r>
        <w:t>Tel: (909) 869-2396</w:t>
      </w:r>
    </w:p>
    <w:p w:rsidR="0034112E" w:rsidRDefault="0034112E"/>
    <w:p w:rsidR="0034112E" w:rsidRDefault="0034112E">
      <w:pPr>
        <w:pStyle w:val="Heading1"/>
      </w:pPr>
      <w:r>
        <w:t>INTRODUCTION</w:t>
      </w:r>
    </w:p>
    <w:p w:rsidR="0034112E" w:rsidRDefault="0034112E">
      <w:pPr>
        <w:rPr>
          <w:b/>
          <w:bCs/>
        </w:rPr>
      </w:pPr>
    </w:p>
    <w:p w:rsidR="0034112E" w:rsidRDefault="0034112E">
      <w:r>
        <w:t xml:space="preserve">A recent article in this journal [Jim Musumeci, 1999] offered a potential mistake in applying ‘equivalent annuity method” and </w:t>
      </w:r>
      <w:proofErr w:type="gramStart"/>
      <w:r>
        <w:t>“ replacement</w:t>
      </w:r>
      <w:proofErr w:type="gramEnd"/>
      <w:r>
        <w:t xml:space="preserve"> chain method” when mutually exclusive projects have unequal lives. The author stated that if the cost of capital for two mutually exclusive unequal lives projects is different the “equivalent annuity” and “replacement chain” methods may result in erroneous choices. </w:t>
      </w:r>
    </w:p>
    <w:p w:rsidR="0034112E" w:rsidRDefault="0034112E"/>
    <w:p w:rsidR="0034112E" w:rsidRDefault="0034112E">
      <w:r>
        <w:t>The purpose of this paper is to show that (1) the inherent assumption of equivalent annuity method (EAM) and replacement chain method (RPC) is that the projects must be in the same risk class and the same constant cost of capital, (2) any deviation from the above assumption will result in erroneous choices. Finally, the adjusted net present value (ANPV) is the only method that will result in correct choices for unequal lives projects with different risk class and cost of capital</w:t>
      </w:r>
    </w:p>
    <w:p w:rsidR="0034112E" w:rsidRDefault="0034112E"/>
    <w:p w:rsidR="0034112E" w:rsidRDefault="0034112E">
      <w:r>
        <w:t>Consider a project which has expected cash flows, CF</w:t>
      </w:r>
      <w:r>
        <w:rPr>
          <w:vertAlign w:val="subscript"/>
        </w:rPr>
        <w:t>t</w:t>
      </w:r>
      <w:r>
        <w:t xml:space="preserve"> and NPV (T) with cost of capital r.</w:t>
      </w:r>
    </w:p>
    <w:p w:rsidR="0034112E" w:rsidRDefault="0034112E">
      <w:r>
        <w:t>The NPV of an infinite stream of the project which is replicated every T years is equal to:</w:t>
      </w:r>
    </w:p>
    <w:p w:rsidR="0034112E" w:rsidRDefault="0034112E">
      <w:pPr>
        <w:jc w:val="center"/>
      </w:pPr>
      <w:r>
        <w:rPr>
          <w:position w:val="-30"/>
          <w:sz w:val="20"/>
        </w:rPr>
        <w:object w:dxaOrig="69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25pt;height:33.75pt" o:ole="" fillcolor="window">
            <v:imagedata r:id="rId8" o:title=""/>
          </v:shape>
          <o:OLEObject Type="Embed" ProgID="Equation.3" ShapeID="_x0000_i1025" DrawAspect="Content" ObjectID="_1559534836" r:id="rId9"/>
        </w:object>
      </w:r>
    </w:p>
    <w:p w:rsidR="0034112E" w:rsidRDefault="0034112E">
      <w:pPr>
        <w:jc w:val="center"/>
        <w:rPr>
          <w:vanish/>
        </w:rPr>
      </w:pPr>
    </w:p>
    <w:p w:rsidR="0034112E" w:rsidRDefault="0034112E">
      <w:r>
        <w:t>Equation 1 can be simplified as equation 2</w:t>
      </w:r>
    </w:p>
    <w:p w:rsidR="0034112E" w:rsidRDefault="0034112E">
      <w:pPr>
        <w:ind w:firstLine="720"/>
        <w:jc w:val="center"/>
      </w:pPr>
      <w:r>
        <w:rPr>
          <w:position w:val="-30"/>
          <w:sz w:val="20"/>
        </w:rPr>
        <w:object w:dxaOrig="4920" w:dyaOrig="740">
          <v:shape id="_x0000_i1026" type="#_x0000_t75" style="width:246pt;height:36.75pt" o:ole="" fillcolor="window">
            <v:imagedata r:id="rId10" o:title=""/>
          </v:shape>
          <o:OLEObject Type="Embed" ProgID="Equation.3" ShapeID="_x0000_i1026" DrawAspect="Content" ObjectID="_1559534837" r:id="rId11"/>
        </w:object>
      </w:r>
    </w:p>
    <w:p w:rsidR="0034112E" w:rsidRDefault="0034112E">
      <w:r>
        <w:t>It is often suggested a good ranking measurement for unequal lives projects is the equivalent annuity method (EAM) which is obtained by multiplying NPV (T</w:t>
      </w:r>
      <w:proofErr w:type="gramStart"/>
      <w:r>
        <w:t xml:space="preserve">, </w:t>
      </w:r>
      <w:proofErr w:type="gramEnd"/>
      <w:r>
        <w:rPr>
          <w:position w:val="-4"/>
        </w:rPr>
        <w:object w:dxaOrig="240" w:dyaOrig="200">
          <v:shape id="_x0000_i1027" type="#_x0000_t75" style="width:12pt;height:9.75pt" o:ole="">
            <v:imagedata r:id="rId12" o:title=""/>
          </v:shape>
          <o:OLEObject Type="Embed" ProgID="Equation.3" ShapeID="_x0000_i1027" DrawAspect="Content" ObjectID="_1559534838" r:id="rId13"/>
        </w:object>
      </w:r>
      <w:r>
        <w:t>) by the cost of capital. That is:</w:t>
      </w:r>
      <w:r>
        <w:tab/>
      </w:r>
      <w:r>
        <w:tab/>
        <w:t>Equivalent Annuity Method= r</w:t>
      </w:r>
      <w:r>
        <w:rPr>
          <w:position w:val="-10"/>
        </w:rPr>
        <w:object w:dxaOrig="1340" w:dyaOrig="320">
          <v:shape id="_x0000_i1028" type="#_x0000_t75" style="width:66.75pt;height:15.75pt" o:ole="">
            <v:imagedata r:id="rId14" o:title=""/>
          </v:shape>
          <o:OLEObject Type="Embed" ProgID="Equation.3" ShapeID="_x0000_i1028" DrawAspect="Content" ObjectID="_1559534839" r:id="rId15"/>
        </w:object>
      </w:r>
      <w:r>
        <w:t>or</w:t>
      </w:r>
    </w:p>
    <w:p w:rsidR="0034112E" w:rsidRDefault="0034112E">
      <w:pPr>
        <w:ind w:firstLine="720"/>
      </w:pPr>
      <w:r>
        <w:rPr>
          <w:position w:val="-32"/>
          <w:sz w:val="20"/>
        </w:rPr>
        <w:object w:dxaOrig="7060" w:dyaOrig="760">
          <v:shape id="_x0000_i1029" type="#_x0000_t75" style="width:353.25pt;height:38.25pt" o:ole="" fillcolor="window">
            <v:imagedata r:id="rId16" o:title=""/>
          </v:shape>
          <o:OLEObject Type="Embed" ProgID="Equation.3" ShapeID="_x0000_i1029" DrawAspect="Content" ObjectID="_1559534840" r:id="rId17"/>
        </w:object>
      </w:r>
    </w:p>
    <w:p w:rsidR="0034112E" w:rsidRDefault="0034112E">
      <w:pPr>
        <w:ind w:firstLine="720"/>
      </w:pPr>
      <w:proofErr w:type="gramStart"/>
      <w:r>
        <w:t>or</w:t>
      </w:r>
      <w:proofErr w:type="gramEnd"/>
    </w:p>
    <w:p w:rsidR="0034112E" w:rsidRDefault="0034112E">
      <w:pPr>
        <w:jc w:val="center"/>
      </w:pPr>
      <w:r>
        <w:rPr>
          <w:position w:val="-32"/>
          <w:sz w:val="20"/>
        </w:rPr>
        <w:object w:dxaOrig="3060" w:dyaOrig="700">
          <v:shape id="_x0000_i1030" type="#_x0000_t75" style="width:153pt;height:35.25pt" o:ole="" fillcolor="window">
            <v:imagedata r:id="rId18" o:title=""/>
          </v:shape>
          <o:OLEObject Type="Embed" ProgID="Equation.3" ShapeID="_x0000_i1030" DrawAspect="Content" ObjectID="_1559534841" r:id="rId19"/>
        </w:object>
      </w:r>
    </w:p>
    <w:p w:rsidR="0034112E" w:rsidRDefault="0034112E">
      <w:pPr>
        <w:jc w:val="center"/>
      </w:pPr>
    </w:p>
    <w:p w:rsidR="0034112E" w:rsidRDefault="0034112E"/>
    <w:p w:rsidR="0034112E" w:rsidRDefault="0034112E">
      <w:r>
        <w:t>Equation 3 can be illustrated by using the Alternative A and B, used by Musumeci.</w:t>
      </w:r>
    </w:p>
    <w:p w:rsidR="0034112E" w:rsidRDefault="0034112E"/>
    <w:p w:rsidR="0034112E" w:rsidRDefault="0034112E">
      <w:r>
        <w:t>Table 1</w:t>
      </w:r>
      <w:r>
        <w:tab/>
      </w:r>
      <w:r>
        <w:tab/>
      </w:r>
      <w:r>
        <w:tab/>
        <w:t xml:space="preserve">Alternative </w:t>
      </w:r>
      <w:proofErr w:type="gramStart"/>
      <w:r>
        <w:t>A</w:t>
      </w:r>
      <w:proofErr w:type="gramEnd"/>
      <w:r>
        <w:tab/>
      </w:r>
      <w:r>
        <w:tab/>
      </w:r>
      <w:r>
        <w:tab/>
        <w:t>Alternative B</w:t>
      </w:r>
      <w:r>
        <w:tab/>
      </w:r>
    </w:p>
    <w:p w:rsidR="0034112E" w:rsidRDefault="0034112E">
      <w:pPr>
        <w:rPr>
          <w:u w:val="single"/>
          <w:vertAlign w:val="subscript"/>
        </w:rPr>
      </w:pPr>
      <w:r>
        <w:rPr>
          <w:u w:val="single"/>
        </w:rPr>
        <w:t>Year</w:t>
      </w:r>
      <w:r>
        <w:rPr>
          <w:u w:val="single"/>
        </w:rPr>
        <w:tab/>
      </w:r>
      <w:r>
        <w:rPr>
          <w:u w:val="single"/>
        </w:rPr>
        <w:tab/>
      </w:r>
      <w:r>
        <w:rPr>
          <w:u w:val="single"/>
        </w:rPr>
        <w:tab/>
      </w:r>
      <w:r>
        <w:rPr>
          <w:u w:val="single"/>
        </w:rPr>
        <w:tab/>
        <w:t>CF</w:t>
      </w:r>
      <w:r>
        <w:rPr>
          <w:u w:val="single"/>
          <w:vertAlign w:val="subscript"/>
        </w:rPr>
        <w:t>A</w:t>
      </w:r>
      <w:r>
        <w:rPr>
          <w:u w:val="single"/>
          <w:vertAlign w:val="subscript"/>
        </w:rPr>
        <w:tab/>
      </w:r>
      <w:r>
        <w:rPr>
          <w:u w:val="single"/>
          <w:vertAlign w:val="subscript"/>
        </w:rPr>
        <w:tab/>
      </w:r>
      <w:r>
        <w:rPr>
          <w:u w:val="single"/>
          <w:vertAlign w:val="subscript"/>
        </w:rPr>
        <w:tab/>
      </w:r>
      <w:r>
        <w:rPr>
          <w:u w:val="single"/>
          <w:vertAlign w:val="subscript"/>
        </w:rPr>
        <w:tab/>
      </w:r>
      <w:r>
        <w:rPr>
          <w:u w:val="single"/>
        </w:rPr>
        <w:t>CF</w:t>
      </w:r>
      <w:r>
        <w:rPr>
          <w:u w:val="single"/>
          <w:vertAlign w:val="subscript"/>
        </w:rPr>
        <w:t>B</w:t>
      </w:r>
      <w:r>
        <w:rPr>
          <w:u w:val="single"/>
          <w:vertAlign w:val="subscript"/>
        </w:rPr>
        <w:tab/>
      </w:r>
      <w:r>
        <w:rPr>
          <w:u w:val="single"/>
          <w:vertAlign w:val="subscript"/>
        </w:rPr>
        <w:tab/>
      </w:r>
    </w:p>
    <w:p w:rsidR="0034112E" w:rsidRDefault="0034112E">
      <w:r>
        <w:t>0</w:t>
      </w:r>
      <w:r>
        <w:tab/>
      </w:r>
      <w:r>
        <w:tab/>
      </w:r>
      <w:r>
        <w:tab/>
      </w:r>
      <w:r>
        <w:tab/>
        <w:t>-1000</w:t>
      </w:r>
      <w:r>
        <w:tab/>
      </w:r>
      <w:r>
        <w:tab/>
      </w:r>
      <w:r>
        <w:tab/>
      </w:r>
      <w:r>
        <w:tab/>
        <w:t>-1000</w:t>
      </w:r>
    </w:p>
    <w:p w:rsidR="0034112E" w:rsidRDefault="0034112E">
      <w:r>
        <w:t>1</w:t>
      </w:r>
      <w:r>
        <w:tab/>
      </w:r>
      <w:r>
        <w:tab/>
      </w:r>
      <w:r>
        <w:tab/>
      </w:r>
      <w:r>
        <w:tab/>
        <w:t xml:space="preserve">    482</w:t>
      </w:r>
      <w:r>
        <w:tab/>
      </w:r>
      <w:r>
        <w:tab/>
      </w:r>
      <w:r>
        <w:tab/>
      </w:r>
      <w:r>
        <w:tab/>
        <w:t xml:space="preserve">    420</w:t>
      </w:r>
    </w:p>
    <w:p w:rsidR="0034112E" w:rsidRDefault="0034112E">
      <w:r>
        <w:t>2</w:t>
      </w:r>
      <w:r>
        <w:tab/>
      </w:r>
      <w:r>
        <w:tab/>
      </w:r>
      <w:r>
        <w:tab/>
      </w:r>
      <w:r>
        <w:tab/>
        <w:t xml:space="preserve">    482</w:t>
      </w:r>
      <w:r>
        <w:tab/>
      </w:r>
      <w:r>
        <w:tab/>
      </w:r>
      <w:r>
        <w:tab/>
      </w:r>
      <w:r>
        <w:tab/>
        <w:t xml:space="preserve">    420</w:t>
      </w:r>
    </w:p>
    <w:p w:rsidR="0034112E" w:rsidRDefault="0034112E">
      <w:r>
        <w:t>3</w:t>
      </w:r>
      <w:r>
        <w:tab/>
      </w:r>
      <w:r>
        <w:tab/>
      </w:r>
      <w:r>
        <w:tab/>
      </w:r>
      <w:r>
        <w:tab/>
        <w:t xml:space="preserve">    482</w:t>
      </w:r>
      <w:r>
        <w:tab/>
      </w:r>
      <w:r>
        <w:tab/>
      </w:r>
      <w:r>
        <w:tab/>
      </w:r>
      <w:r>
        <w:tab/>
        <w:t xml:space="preserve">    420</w:t>
      </w:r>
    </w:p>
    <w:p w:rsidR="0034112E" w:rsidRDefault="0034112E">
      <w:r>
        <w:t>4</w:t>
      </w:r>
      <w:r>
        <w:tab/>
      </w:r>
      <w:r>
        <w:tab/>
      </w:r>
      <w:r>
        <w:tab/>
      </w:r>
      <w:r>
        <w:tab/>
      </w:r>
      <w:r>
        <w:tab/>
      </w:r>
      <w:r>
        <w:tab/>
      </w:r>
      <w:r>
        <w:tab/>
      </w:r>
      <w:r>
        <w:tab/>
        <w:t xml:space="preserve">    420</w:t>
      </w:r>
    </w:p>
    <w:p w:rsidR="0034112E" w:rsidRDefault="0034112E">
      <w:r>
        <w:t>NPV</w:t>
      </w:r>
      <w:r>
        <w:rPr>
          <w:vertAlign w:val="subscript"/>
        </w:rPr>
        <w:t>A</w:t>
      </w:r>
      <w:r>
        <w:t xml:space="preserve"> (@10%)</w:t>
      </w:r>
      <w:r>
        <w:tab/>
      </w:r>
      <w:r>
        <w:tab/>
        <w:t>198.66</w:t>
      </w:r>
    </w:p>
    <w:p w:rsidR="0034112E" w:rsidRDefault="0034112E">
      <w:r>
        <w:t>NPV</w:t>
      </w:r>
      <w:r>
        <w:rPr>
          <w:vertAlign w:val="subscript"/>
        </w:rPr>
        <w:t>B</w:t>
      </w:r>
      <w:r>
        <w:t xml:space="preserve"> (@12%)</w:t>
      </w:r>
      <w:r>
        <w:tab/>
      </w:r>
      <w:r>
        <w:tab/>
      </w:r>
      <w:r>
        <w:tab/>
      </w:r>
      <w:r>
        <w:tab/>
      </w:r>
      <w:r>
        <w:tab/>
      </w:r>
      <w:r>
        <w:tab/>
        <w:t>$275.69</w:t>
      </w:r>
    </w:p>
    <w:p w:rsidR="0034112E" w:rsidRDefault="0034112E">
      <w:r>
        <w:t>EAM</w:t>
      </w:r>
      <w:r>
        <w:rPr>
          <w:vertAlign w:val="subscript"/>
        </w:rPr>
        <w:t>A</w:t>
      </w:r>
      <w:r>
        <w:t xml:space="preserve"> (@10%)</w:t>
      </w:r>
      <w:r>
        <w:tab/>
      </w:r>
      <w:r>
        <w:tab/>
        <w:t>$79.89</w:t>
      </w:r>
    </w:p>
    <w:p w:rsidR="0034112E" w:rsidRDefault="0034112E">
      <w:r>
        <w:t>EAM</w:t>
      </w:r>
      <w:r>
        <w:rPr>
          <w:vertAlign w:val="subscript"/>
        </w:rPr>
        <w:t>B</w:t>
      </w:r>
      <w:r>
        <w:t xml:space="preserve"> (@12%)</w:t>
      </w:r>
      <w:r>
        <w:tab/>
      </w:r>
      <w:r>
        <w:tab/>
      </w:r>
      <w:r>
        <w:tab/>
      </w:r>
      <w:r>
        <w:tab/>
      </w:r>
      <w:r>
        <w:tab/>
      </w:r>
      <w:r>
        <w:tab/>
        <w:t>$90.77</w:t>
      </w:r>
    </w:p>
    <w:p w:rsidR="0034112E" w:rsidRDefault="0034112E">
      <w:r>
        <w:t>RPC</w:t>
      </w:r>
      <w:r>
        <w:rPr>
          <w:vertAlign w:val="subscript"/>
        </w:rPr>
        <w:t>A</w:t>
      </w:r>
      <w:r>
        <w:t xml:space="preserve"> (@10%)</w:t>
      </w:r>
      <w:r>
        <w:tab/>
      </w:r>
      <w:r>
        <w:tab/>
        <w:t>$544.31</w:t>
      </w:r>
    </w:p>
    <w:p w:rsidR="0034112E" w:rsidRDefault="0034112E">
      <w:pPr>
        <w:rPr>
          <w:b/>
          <w:bCs/>
        </w:rPr>
      </w:pPr>
      <w:r>
        <w:t>RPC</w:t>
      </w:r>
      <w:r>
        <w:rPr>
          <w:vertAlign w:val="subscript"/>
        </w:rPr>
        <w:t>B</w:t>
      </w:r>
      <w:r>
        <w:t xml:space="preserve"> (@12%)</w:t>
      </w:r>
      <w:r>
        <w:tab/>
      </w:r>
      <w:r>
        <w:tab/>
      </w:r>
      <w:r>
        <w:tab/>
      </w:r>
      <w:r>
        <w:tab/>
      </w:r>
      <w:r>
        <w:tab/>
      </w:r>
      <w:r>
        <w:tab/>
        <w:t>$562.24</w:t>
      </w:r>
    </w:p>
    <w:p w:rsidR="0034112E" w:rsidRDefault="0034112E">
      <w:r>
        <w:t>EAM</w:t>
      </w:r>
      <w:r>
        <w:rPr>
          <w:vertAlign w:val="subscript"/>
        </w:rPr>
        <w:t>A</w:t>
      </w:r>
      <w:r>
        <w:t xml:space="preserve"> </w:t>
      </w:r>
      <w:proofErr w:type="gramStart"/>
      <w:r>
        <w:t>/(</w:t>
      </w:r>
      <w:proofErr w:type="gramEnd"/>
      <w:r>
        <w:t>10%)</w:t>
      </w:r>
      <w:r>
        <w:tab/>
      </w:r>
      <w:r>
        <w:tab/>
      </w:r>
      <w:r>
        <w:tab/>
        <w:t>798.85</w:t>
      </w:r>
    </w:p>
    <w:p w:rsidR="0034112E" w:rsidRDefault="0034112E">
      <w:pPr>
        <w:rPr>
          <w:u w:val="single"/>
        </w:rPr>
      </w:pPr>
      <w:r>
        <w:rPr>
          <w:u w:val="single"/>
        </w:rPr>
        <w:t>EAM</w:t>
      </w:r>
      <w:r>
        <w:rPr>
          <w:u w:val="single"/>
          <w:vertAlign w:val="subscript"/>
        </w:rPr>
        <w:t>B</w:t>
      </w:r>
      <w:r>
        <w:rPr>
          <w:u w:val="single"/>
        </w:rPr>
        <w:t xml:space="preserve"> </w:t>
      </w:r>
      <w:proofErr w:type="gramStart"/>
      <w:r>
        <w:rPr>
          <w:u w:val="single"/>
        </w:rPr>
        <w:t>/(</w:t>
      </w:r>
      <w:proofErr w:type="gramEnd"/>
      <w:r>
        <w:rPr>
          <w:u w:val="single"/>
        </w:rPr>
        <w:t>12%)</w:t>
      </w:r>
      <w:r>
        <w:rPr>
          <w:u w:val="single"/>
        </w:rPr>
        <w:tab/>
      </w:r>
      <w:r>
        <w:rPr>
          <w:u w:val="single"/>
        </w:rPr>
        <w:tab/>
      </w:r>
      <w:r>
        <w:rPr>
          <w:u w:val="single"/>
        </w:rPr>
        <w:tab/>
      </w:r>
      <w:r>
        <w:rPr>
          <w:u w:val="single"/>
        </w:rPr>
        <w:tab/>
      </w:r>
      <w:r>
        <w:rPr>
          <w:u w:val="single"/>
        </w:rPr>
        <w:tab/>
      </w:r>
      <w:r>
        <w:rPr>
          <w:u w:val="single"/>
        </w:rPr>
        <w:tab/>
      </w:r>
      <w:r>
        <w:rPr>
          <w:u w:val="single"/>
        </w:rPr>
        <w:tab/>
        <w:t>$756.38</w:t>
      </w:r>
      <w:r>
        <w:rPr>
          <w:u w:val="single"/>
        </w:rPr>
        <w:tab/>
      </w:r>
    </w:p>
    <w:p w:rsidR="0034112E" w:rsidRDefault="0034112E">
      <w:pPr>
        <w:pStyle w:val="Footer"/>
        <w:tabs>
          <w:tab w:val="clear" w:pos="4320"/>
          <w:tab w:val="clear" w:pos="8640"/>
        </w:tabs>
      </w:pPr>
    </w:p>
    <w:p w:rsidR="0034112E" w:rsidRDefault="0034112E">
      <w:r>
        <w:t>Table 1 summarizes the result of the net present value, equivalent annuity and replacement chain methods and perpetuity value of EAM of the two projects at the cost of capital of 10% and 12% as reported by Musumeci. It is obvious that the Alternative B is recommended by NPV and RPC, and Alternative A with EAM perpetuity, as long as the cost of capital is 10% for A and 12% for B.</w:t>
      </w:r>
    </w:p>
    <w:p w:rsidR="0034112E" w:rsidRDefault="0034112E"/>
    <w:p w:rsidR="0034112E" w:rsidRDefault="0034112E">
      <w:r>
        <w:t xml:space="preserve">However, if projects have different risk and therefore different costs of capital, the EAM and RPC should not be used, because if two projects have exactly the same </w:t>
      </w:r>
      <w:r>
        <w:rPr>
          <w:position w:val="-10"/>
        </w:rPr>
        <w:object w:dxaOrig="1160" w:dyaOrig="320">
          <v:shape id="_x0000_i1031" type="#_x0000_t75" style="width:57.75pt;height:15.75pt" o:ole="">
            <v:imagedata r:id="rId20" o:title=""/>
          </v:shape>
          <o:OLEObject Type="Embed" ProgID="Equation.3" ShapeID="_x0000_i1031" DrawAspect="Content" ObjectID="_1559534842" r:id="rId21"/>
        </w:object>
      </w:r>
      <w:r>
        <w:t xml:space="preserve">, then the one with the higher cost of capital (that is, the riskier project) will appear (incorrectly) to have the greater value. </w:t>
      </w:r>
    </w:p>
    <w:p w:rsidR="0034112E" w:rsidRDefault="0034112E"/>
    <w:p w:rsidR="0034112E" w:rsidRDefault="0034112E">
      <w:pPr>
        <w:pStyle w:val="Heading1"/>
      </w:pPr>
      <w:r>
        <w:t>ADJUSTED NET PRESENT VALUE METHOD</w:t>
      </w:r>
    </w:p>
    <w:p w:rsidR="0034112E" w:rsidRDefault="0034112E"/>
    <w:p w:rsidR="0034112E" w:rsidRDefault="0034112E">
      <w:r>
        <w:t xml:space="preserve">The Adjusted Net Present Value (ANPV) is derived by multiplying Equation 2 by (r/r) and then </w:t>
      </w:r>
      <w:r w:rsidR="00AB780B">
        <w:t>simplifying as</w:t>
      </w:r>
      <w:r>
        <w:t xml:space="preserve"> Equation 5.</w:t>
      </w:r>
    </w:p>
    <w:p w:rsidR="0034112E" w:rsidRDefault="0034112E">
      <w:r>
        <w:rPr>
          <w:position w:val="-32"/>
          <w:sz w:val="20"/>
        </w:rPr>
        <w:object w:dxaOrig="8300" w:dyaOrig="760">
          <v:shape id="_x0000_i1032" type="#_x0000_t75" style="width:414.75pt;height:38.25pt" o:ole="" fillcolor="window">
            <v:imagedata r:id="rId22" o:title=""/>
          </v:shape>
          <o:OLEObject Type="Embed" ProgID="Equation.3" ShapeID="_x0000_i1032" DrawAspect="Content" ObjectID="_1559534843" r:id="rId23"/>
        </w:object>
      </w:r>
    </w:p>
    <w:p w:rsidR="0034112E" w:rsidRDefault="0034112E">
      <w:pPr>
        <w:jc w:val="center"/>
      </w:pPr>
      <w:proofErr w:type="gramStart"/>
      <w:r>
        <w:t>or</w:t>
      </w:r>
      <w:proofErr w:type="gramEnd"/>
    </w:p>
    <w:p w:rsidR="0034112E" w:rsidRDefault="0034112E">
      <w:pPr>
        <w:jc w:val="center"/>
      </w:pPr>
    </w:p>
    <w:p w:rsidR="0034112E" w:rsidRDefault="00E14556">
      <w:pPr>
        <w:jc w:val="center"/>
      </w:pPr>
      <w:r w:rsidRPr="00E14556">
        <w:rPr>
          <w:position w:val="-28"/>
          <w:sz w:val="20"/>
        </w:rPr>
        <w:object w:dxaOrig="3680" w:dyaOrig="620">
          <v:shape id="_x0000_i1033" type="#_x0000_t75" style="width:205.5pt;height:31.5pt" o:ole="" fillcolor="window">
            <v:imagedata r:id="rId24" o:title=""/>
          </v:shape>
          <o:OLEObject Type="Embed" ProgID="Equation.3" ShapeID="_x0000_i1033" DrawAspect="Content" ObjectID="_1559534844" r:id="rId25"/>
        </w:object>
      </w:r>
    </w:p>
    <w:p w:rsidR="0034112E" w:rsidRDefault="0034112E">
      <w:pPr>
        <w:jc w:val="center"/>
      </w:pPr>
    </w:p>
    <w:p w:rsidR="0034112E" w:rsidRDefault="0034112E"/>
    <w:p w:rsidR="00AB780B" w:rsidRDefault="00AB780B">
      <w:pPr>
        <w:pStyle w:val="Heading1"/>
      </w:pPr>
    </w:p>
    <w:p w:rsidR="0034112E" w:rsidRDefault="0034112E">
      <w:pPr>
        <w:pStyle w:val="Heading1"/>
      </w:pPr>
      <w:r>
        <w:lastRenderedPageBreak/>
        <w:t>UNEQUAL LIVES PROJECTS WITH DIFFERENT COST OF CAPITAL</w:t>
      </w:r>
    </w:p>
    <w:p w:rsidR="0034112E" w:rsidRDefault="0034112E">
      <w:r>
        <w:t xml:space="preserve">Applying Equation 5 to the above example yields an ANPV of $798.85 for project A and project B ANPV is $756.38. If the cost of capital for project B were 10%, the NPV, EAM, RPC, and ANPV would be equal to $331.34, $104.53, $907.84, and $1045.29 as shown in the above Table 2. It is obvious that the project B is a better alternative than A when the cost of the capital is 10% or 12% for both projects. This is the inherent assumption of EAM and RPC that the cost of capital must be the same for all of the projects. </w:t>
      </w:r>
      <w:proofErr w:type="gramStart"/>
      <w:r>
        <w:t>When the projects are in different risk class with different cost of capital then the ANPV results in correct decision.</w:t>
      </w:r>
      <w:proofErr w:type="gramEnd"/>
    </w:p>
    <w:p w:rsidR="0034112E" w:rsidRDefault="0034112E"/>
    <w:p w:rsidR="0034112E" w:rsidRDefault="0034112E">
      <w:pPr>
        <w:pStyle w:val="Heading2"/>
      </w:pPr>
      <w:r>
        <w:t>Table 2 Comparison of Alternative A and B at Different Cost of Capital</w:t>
      </w:r>
    </w:p>
    <w:p w:rsidR="0034112E" w:rsidRDefault="0034112E">
      <w:r>
        <w:tab/>
      </w:r>
      <w:r>
        <w:tab/>
      </w:r>
      <w:r>
        <w:tab/>
      </w:r>
      <w:r>
        <w:tab/>
      </w:r>
      <w:r>
        <w:rPr>
          <w:u w:val="single"/>
        </w:rPr>
        <w:t xml:space="preserve">Alternative </w:t>
      </w:r>
      <w:proofErr w:type="gramStart"/>
      <w:r>
        <w:rPr>
          <w:u w:val="single"/>
        </w:rPr>
        <w:t>A</w:t>
      </w:r>
      <w:proofErr w:type="gramEnd"/>
      <w:r>
        <w:tab/>
      </w:r>
      <w:r>
        <w:tab/>
      </w:r>
      <w:r>
        <w:tab/>
      </w:r>
      <w:r>
        <w:rPr>
          <w:u w:val="single"/>
        </w:rPr>
        <w:t>Alternative B</w:t>
      </w:r>
    </w:p>
    <w:p w:rsidR="0034112E" w:rsidRDefault="0034112E">
      <w:r>
        <w:t>NPV (@10%)</w:t>
      </w:r>
      <w:r>
        <w:tab/>
      </w:r>
      <w:r>
        <w:tab/>
      </w:r>
      <w:r>
        <w:tab/>
        <w:t>$198.66</w:t>
      </w:r>
      <w:r>
        <w:tab/>
      </w:r>
      <w:r>
        <w:tab/>
      </w:r>
      <w:r>
        <w:tab/>
        <w:t>$331.34</w:t>
      </w:r>
    </w:p>
    <w:p w:rsidR="0034112E" w:rsidRDefault="0034112E">
      <w:r>
        <w:t>NPV (@12%)</w:t>
      </w:r>
      <w:r>
        <w:tab/>
      </w:r>
      <w:r>
        <w:tab/>
      </w:r>
      <w:r>
        <w:tab/>
        <w:t>$157.68</w:t>
      </w:r>
      <w:r>
        <w:tab/>
      </w:r>
      <w:r>
        <w:tab/>
      </w:r>
      <w:r>
        <w:tab/>
        <w:t>$275.69</w:t>
      </w:r>
    </w:p>
    <w:p w:rsidR="0034112E" w:rsidRDefault="0034112E">
      <w:pPr>
        <w:pStyle w:val="Footer"/>
        <w:tabs>
          <w:tab w:val="clear" w:pos="4320"/>
          <w:tab w:val="clear" w:pos="8640"/>
        </w:tabs>
      </w:pPr>
      <w:r>
        <w:t>EAM (@10%)</w:t>
      </w:r>
      <w:r>
        <w:tab/>
      </w:r>
      <w:r>
        <w:tab/>
      </w:r>
      <w:r>
        <w:tab/>
        <w:t>$79.89</w:t>
      </w:r>
      <w:r>
        <w:tab/>
      </w:r>
      <w:r>
        <w:tab/>
      </w:r>
      <w:r>
        <w:tab/>
      </w:r>
      <w:r>
        <w:tab/>
        <w:t>$104.53</w:t>
      </w:r>
    </w:p>
    <w:p w:rsidR="0034112E" w:rsidRDefault="0034112E">
      <w:pPr>
        <w:rPr>
          <w:b/>
          <w:bCs/>
        </w:rPr>
      </w:pPr>
      <w:r>
        <w:t>EAM (@12%)</w:t>
      </w:r>
      <w:r>
        <w:tab/>
      </w:r>
      <w:r>
        <w:tab/>
      </w:r>
      <w:r>
        <w:tab/>
        <w:t>$65.65</w:t>
      </w:r>
      <w:r>
        <w:tab/>
      </w:r>
      <w:r>
        <w:tab/>
      </w:r>
      <w:r>
        <w:tab/>
      </w:r>
      <w:r>
        <w:tab/>
        <w:t>$90.77</w:t>
      </w:r>
    </w:p>
    <w:p w:rsidR="0034112E" w:rsidRDefault="0034112E">
      <w:r>
        <w:t>RPC (@10%)</w:t>
      </w:r>
      <w:r>
        <w:tab/>
      </w:r>
      <w:r>
        <w:tab/>
      </w:r>
      <w:r>
        <w:tab/>
        <w:t>$544.31</w:t>
      </w:r>
      <w:r>
        <w:tab/>
      </w:r>
      <w:r>
        <w:tab/>
      </w:r>
      <w:r>
        <w:tab/>
        <w:t>$$907.84</w:t>
      </w:r>
    </w:p>
    <w:p w:rsidR="0034112E" w:rsidRDefault="0034112E">
      <w:r>
        <w:t>RPC (@12%)</w:t>
      </w:r>
      <w:r>
        <w:tab/>
      </w:r>
      <w:r>
        <w:tab/>
      </w:r>
      <w:r>
        <w:tab/>
        <w:t>$406.67</w:t>
      </w:r>
      <w:r>
        <w:tab/>
      </w:r>
      <w:r>
        <w:tab/>
      </w:r>
      <w:r>
        <w:tab/>
        <w:t>$562.24</w:t>
      </w:r>
    </w:p>
    <w:p w:rsidR="0034112E" w:rsidRDefault="0034112E">
      <w:r>
        <w:t xml:space="preserve">EAM </w:t>
      </w:r>
      <w:proofErr w:type="gramStart"/>
      <w:r>
        <w:t>/(</w:t>
      </w:r>
      <w:proofErr w:type="gramEnd"/>
      <w:r>
        <w:t>10%)</w:t>
      </w:r>
      <w:r>
        <w:tab/>
      </w:r>
      <w:r>
        <w:tab/>
      </w:r>
      <w:r>
        <w:tab/>
        <w:t>$798.85</w:t>
      </w:r>
      <w:r>
        <w:tab/>
      </w:r>
      <w:r>
        <w:tab/>
      </w:r>
      <w:r>
        <w:tab/>
        <w:t>$1045.29</w:t>
      </w:r>
    </w:p>
    <w:p w:rsidR="0034112E" w:rsidRDefault="0034112E">
      <w:r>
        <w:t xml:space="preserve">EAM </w:t>
      </w:r>
      <w:proofErr w:type="gramStart"/>
      <w:r>
        <w:t>/(</w:t>
      </w:r>
      <w:proofErr w:type="gramEnd"/>
      <w:r>
        <w:t>12%)</w:t>
      </w:r>
      <w:r>
        <w:tab/>
      </w:r>
      <w:r>
        <w:tab/>
      </w:r>
      <w:r>
        <w:tab/>
        <w:t>$547.09</w:t>
      </w:r>
      <w:r>
        <w:tab/>
      </w:r>
      <w:r>
        <w:tab/>
      </w:r>
      <w:r>
        <w:tab/>
        <w:t>$756.38</w:t>
      </w:r>
    </w:p>
    <w:p w:rsidR="0034112E" w:rsidRDefault="0034112E">
      <w:pPr>
        <w:pStyle w:val="Footer"/>
        <w:tabs>
          <w:tab w:val="clear" w:pos="4320"/>
          <w:tab w:val="clear" w:pos="8640"/>
        </w:tabs>
      </w:pPr>
      <w:r>
        <w:t>ANPV (@10%)</w:t>
      </w:r>
      <w:r>
        <w:tab/>
      </w:r>
      <w:r>
        <w:tab/>
        <w:t>$798.85</w:t>
      </w:r>
      <w:r>
        <w:tab/>
      </w:r>
      <w:r>
        <w:tab/>
      </w:r>
      <w:r>
        <w:tab/>
        <w:t>$1045.29</w:t>
      </w:r>
    </w:p>
    <w:p w:rsidR="0034112E" w:rsidRDefault="0034112E">
      <w:pPr>
        <w:rPr>
          <w:b/>
          <w:bCs/>
          <w:u w:val="single"/>
        </w:rPr>
      </w:pPr>
      <w:r>
        <w:rPr>
          <w:u w:val="single"/>
        </w:rPr>
        <w:t>ANPV (@12%)</w:t>
      </w:r>
      <w:r>
        <w:rPr>
          <w:u w:val="single"/>
        </w:rPr>
        <w:tab/>
      </w:r>
      <w:r>
        <w:rPr>
          <w:u w:val="single"/>
        </w:rPr>
        <w:tab/>
        <w:t>$547.09</w:t>
      </w:r>
      <w:r>
        <w:rPr>
          <w:u w:val="single"/>
        </w:rPr>
        <w:tab/>
      </w:r>
      <w:r>
        <w:rPr>
          <w:u w:val="single"/>
        </w:rPr>
        <w:tab/>
      </w:r>
      <w:r>
        <w:rPr>
          <w:u w:val="single"/>
        </w:rPr>
        <w:tab/>
        <w:t>$756.38</w:t>
      </w:r>
    </w:p>
    <w:p w:rsidR="0034112E" w:rsidRDefault="0034112E"/>
    <w:p w:rsidR="0034112E" w:rsidRDefault="0034112E">
      <w:pPr>
        <w:pStyle w:val="Heading1"/>
      </w:pPr>
      <w:r>
        <w:t>CONCLUSION</w:t>
      </w:r>
    </w:p>
    <w:p w:rsidR="0034112E" w:rsidRDefault="0034112E">
      <w:r>
        <w:t>Musumeci has identified reasons that the equivalent annuity method and replacement chain method may fail when the projects have unequal lives with different cost of capital. However, the failure of these methods is due to erroneous assumption that was made in his paper. Both methods will result in the correct decision as long as the inherent assumptions of both methods are made correctly.</w:t>
      </w:r>
    </w:p>
    <w:p w:rsidR="0034112E" w:rsidRDefault="0034112E"/>
    <w:p w:rsidR="0034112E" w:rsidRDefault="0034112E">
      <w:r>
        <w:t>In this paper, it has been shown that the EAM and RPC result in correct decision as long as the assumption of methods (same cost of capital) is maintained. When the investments are in different risk class with different cost of capital, the Adjusted Net Present value is only method that will result in correct decision.</w:t>
      </w:r>
    </w:p>
    <w:p w:rsidR="0034112E" w:rsidRDefault="0034112E"/>
    <w:p w:rsidR="0034112E" w:rsidRDefault="0034112E">
      <w:pPr>
        <w:pStyle w:val="Heading1"/>
      </w:pPr>
      <w:r>
        <w:t>REFERENCES</w:t>
      </w:r>
    </w:p>
    <w:p w:rsidR="0034112E" w:rsidRDefault="0034112E">
      <w:r>
        <w:t xml:space="preserve">Jim Musumeci, “Another Look </w:t>
      </w:r>
      <w:proofErr w:type="gramStart"/>
      <w:r>
        <w:t>At</w:t>
      </w:r>
      <w:proofErr w:type="gramEnd"/>
      <w:r>
        <w:t xml:space="preserve"> Mutually Exclusive Alternatives With Unequal Lives And</w:t>
      </w:r>
    </w:p>
    <w:p w:rsidR="0034112E" w:rsidRDefault="0034112E">
      <w:r>
        <w:t xml:space="preserve">Required Returns,” </w:t>
      </w:r>
      <w:r>
        <w:rPr>
          <w:i/>
          <w:iCs/>
        </w:rPr>
        <w:t>Journal of Financial Education</w:t>
      </w:r>
      <w:r>
        <w:t xml:space="preserve">, </w:t>
      </w:r>
      <w:proofErr w:type="gramStart"/>
      <w:r>
        <w:t>Spring</w:t>
      </w:r>
      <w:proofErr w:type="gramEnd"/>
      <w:r>
        <w:t xml:space="preserve"> 1999, Vol. 25, pp.18-20.</w:t>
      </w:r>
    </w:p>
    <w:p w:rsidR="0034112E" w:rsidRDefault="0034112E"/>
    <w:sectPr w:rsidR="0034112E">
      <w:footerReference w:type="even" r:id="rId26"/>
      <w:footerReference w:type="default" r:id="rId27"/>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2879" w:rsidRDefault="00EE2879">
      <w:r>
        <w:separator/>
      </w:r>
    </w:p>
  </w:endnote>
  <w:endnote w:type="continuationSeparator" w:id="0">
    <w:p w:rsidR="00EE2879" w:rsidRDefault="00EE28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12E" w:rsidRDefault="003411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4112E" w:rsidRDefault="0034112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12E" w:rsidRDefault="003411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06B5">
      <w:rPr>
        <w:rStyle w:val="PageNumber"/>
        <w:noProof/>
      </w:rPr>
      <w:t>1</w:t>
    </w:r>
    <w:r>
      <w:rPr>
        <w:rStyle w:val="PageNumber"/>
      </w:rPr>
      <w:fldChar w:fldCharType="end"/>
    </w:r>
  </w:p>
  <w:p w:rsidR="0034112E" w:rsidRDefault="0034112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2879" w:rsidRDefault="00EE2879">
      <w:r>
        <w:separator/>
      </w:r>
    </w:p>
  </w:footnote>
  <w:footnote w:type="continuationSeparator" w:id="0">
    <w:p w:rsidR="00EE2879" w:rsidRDefault="00EE28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467DD"/>
    <w:multiLevelType w:val="singleLevel"/>
    <w:tmpl w:val="8794ACE0"/>
    <w:lvl w:ilvl="0">
      <w:start w:val="1"/>
      <w:numFmt w:val="lowerLetter"/>
      <w:lvlText w:val="%1."/>
      <w:lvlJc w:val="left"/>
      <w:pPr>
        <w:tabs>
          <w:tab w:val="num" w:pos="1080"/>
        </w:tabs>
        <w:ind w:left="1080" w:hanging="360"/>
      </w:pPr>
      <w:rPr>
        <w:rFonts w:hint="default"/>
      </w:rPr>
    </w:lvl>
  </w:abstractNum>
  <w:abstractNum w:abstractNumId="1">
    <w:nsid w:val="569E2D26"/>
    <w:multiLevelType w:val="singleLevel"/>
    <w:tmpl w:val="0409000F"/>
    <w:lvl w:ilvl="0">
      <w:start w:val="1"/>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D11244"/>
    <w:rsid w:val="001949D4"/>
    <w:rsid w:val="0034112E"/>
    <w:rsid w:val="0038748A"/>
    <w:rsid w:val="005D08BA"/>
    <w:rsid w:val="00805FB3"/>
    <w:rsid w:val="00AB780B"/>
    <w:rsid w:val="00D11244"/>
    <w:rsid w:val="00D73136"/>
    <w:rsid w:val="00E14556"/>
    <w:rsid w:val="00E306B5"/>
    <w:rsid w:val="00EE28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ind w:firstLine="720"/>
    </w:pPr>
    <w:rPr>
      <w:vanish/>
    </w:rPr>
  </w:style>
  <w:style w:type="character" w:styleId="Hyperlink">
    <w:name w:val="Hyperlink"/>
    <w:basedOn w:val="DefaultParagraphFont"/>
    <w:semiHidden/>
    <w:rPr>
      <w:color w:val="0000FF"/>
      <w:u w:val="singl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hyperlink" Target="mailto:Dkashefineja@csupomona.edu" TargetMode="Externa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9.wmf"/><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Finance Notes: Dr</vt:lpstr>
    </vt:vector>
  </TitlesOfParts>
  <Company>Cal Poly Pomona</Company>
  <LinksUpToDate>false</LinksUpToDate>
  <CharactersWithSpaces>5198</CharactersWithSpaces>
  <SharedDoc>false</SharedDoc>
  <HLinks>
    <vt:vector size="6" baseType="variant">
      <vt:variant>
        <vt:i4>6750280</vt:i4>
      </vt:variant>
      <vt:variant>
        <vt:i4>0</vt:i4>
      </vt:variant>
      <vt:variant>
        <vt:i4>0</vt:i4>
      </vt:variant>
      <vt:variant>
        <vt:i4>5</vt:i4>
      </vt:variant>
      <vt:variant>
        <vt:lpwstr>mailto:Dkashefineja@csupomona.edu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Notes: Dr</dc:title>
  <dc:creator>C.B.A.</dc:creator>
  <cp:lastModifiedBy>Javad</cp:lastModifiedBy>
  <cp:revision>2</cp:revision>
  <cp:lastPrinted>2000-04-27T06:54:00Z</cp:lastPrinted>
  <dcterms:created xsi:type="dcterms:W3CDTF">2017-06-21T14:20:00Z</dcterms:created>
  <dcterms:modified xsi:type="dcterms:W3CDTF">2017-06-21T14:20:00Z</dcterms:modified>
</cp:coreProperties>
</file>